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B5" w:rsidRPr="006051E1" w:rsidRDefault="009724B5" w:rsidP="009724B5">
      <w:pPr>
        <w:pStyle w:val="Nagwek1"/>
        <w:rPr>
          <w:color w:val="auto"/>
        </w:rPr>
      </w:pPr>
      <w:r w:rsidRPr="006051E1">
        <w:rPr>
          <w:noProof/>
        </w:rPr>
        <w:drawing>
          <wp:inline distT="0" distB="0" distL="0" distR="0" wp14:anchorId="644C1E51" wp14:editId="5733E8E2">
            <wp:extent cx="1822360" cy="42321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821732" cy="423064"/>
                    </a:xfrm>
                    <a:prstGeom prst="rect">
                      <a:avLst/>
                    </a:prstGeom>
                    <a:noFill/>
                    <a:ln>
                      <a:noFill/>
                    </a:ln>
                  </pic:spPr>
                </pic:pic>
              </a:graphicData>
            </a:graphic>
          </wp:inline>
        </w:drawing>
      </w:r>
    </w:p>
    <w:p w:rsidR="00F75228" w:rsidRPr="006051E1" w:rsidRDefault="00F75228" w:rsidP="00F75228"/>
    <w:p w:rsidR="006F2B90" w:rsidRPr="006051E1" w:rsidRDefault="00C403D2" w:rsidP="00F75228">
      <w:pPr>
        <w:pStyle w:val="Nagwek1"/>
        <w:spacing w:before="0"/>
        <w:jc w:val="center"/>
        <w:rPr>
          <w:color w:val="auto"/>
        </w:rPr>
      </w:pPr>
      <w:r w:rsidRPr="006051E1">
        <w:rPr>
          <w:color w:val="auto"/>
        </w:rPr>
        <w:t>WARUNKI PAKIETOWEJ SPRZEDAŻY WIERZYTELNOŚCI</w:t>
      </w:r>
      <w:r w:rsidR="002E5E82" w:rsidRPr="006051E1">
        <w:rPr>
          <w:color w:val="auto"/>
        </w:rPr>
        <w:t xml:space="preserve"> </w:t>
      </w:r>
      <w:r w:rsidR="00961C76" w:rsidRPr="006051E1">
        <w:rPr>
          <w:color w:val="auto"/>
        </w:rPr>
        <w:t>ZACHODNIOPOMORSKIEJ SKOK</w:t>
      </w:r>
    </w:p>
    <w:p w:rsidR="00F75228" w:rsidRPr="006051E1" w:rsidRDefault="00F75228" w:rsidP="00F75228"/>
    <w:p w:rsidR="002E5E82" w:rsidRPr="006051E1" w:rsidRDefault="00C403D2" w:rsidP="00F75228">
      <w:pPr>
        <w:pStyle w:val="Nagwek2"/>
        <w:spacing w:before="0"/>
        <w:jc w:val="both"/>
        <w:rPr>
          <w:color w:val="auto"/>
        </w:rPr>
      </w:pPr>
      <w:r w:rsidRPr="006051E1">
        <w:rPr>
          <w:color w:val="auto"/>
        </w:rPr>
        <w:t>I. ORGANIZATOR SPRZEDAŻY</w:t>
      </w:r>
    </w:p>
    <w:p w:rsidR="006F2B90" w:rsidRPr="006051E1" w:rsidRDefault="00961C76" w:rsidP="00F75228">
      <w:pPr>
        <w:jc w:val="both"/>
        <w:rPr>
          <w:rFonts w:asciiTheme="majorHAnsi" w:hAnsiTheme="majorHAnsi" w:cs="Times New Roman"/>
        </w:rPr>
      </w:pPr>
      <w:r w:rsidRPr="006051E1">
        <w:rPr>
          <w:rFonts w:asciiTheme="majorHAnsi" w:hAnsiTheme="majorHAnsi" w:cs="Times New Roman"/>
        </w:rPr>
        <w:t xml:space="preserve">Zachodniopomorska </w:t>
      </w:r>
      <w:r w:rsidR="00C403D2" w:rsidRPr="006051E1">
        <w:rPr>
          <w:rFonts w:asciiTheme="majorHAnsi" w:hAnsiTheme="majorHAnsi" w:cs="Times New Roman"/>
        </w:rPr>
        <w:t xml:space="preserve">Spółdzielcza Kasa Oszczędnościowo-Kredytowa (zwana dalej </w:t>
      </w:r>
      <w:r w:rsidRPr="006051E1">
        <w:rPr>
          <w:rFonts w:asciiTheme="majorHAnsi" w:hAnsiTheme="majorHAnsi" w:cs="Times New Roman"/>
        </w:rPr>
        <w:t>Z</w:t>
      </w:r>
      <w:r w:rsidR="00C403D2" w:rsidRPr="006051E1">
        <w:rPr>
          <w:rFonts w:asciiTheme="majorHAnsi" w:hAnsiTheme="majorHAnsi" w:cs="Times New Roman"/>
          <w:b/>
          <w:bCs/>
        </w:rPr>
        <w:t>SKOK</w:t>
      </w:r>
      <w:r w:rsidR="00C403D2" w:rsidRPr="006051E1">
        <w:rPr>
          <w:rFonts w:asciiTheme="majorHAnsi" w:hAnsiTheme="majorHAnsi" w:cs="Times New Roman"/>
        </w:rPr>
        <w:t>).</w:t>
      </w:r>
    </w:p>
    <w:p w:rsidR="00F75228" w:rsidRPr="006051E1" w:rsidRDefault="00F75228" w:rsidP="00F75228">
      <w:pPr>
        <w:jc w:val="both"/>
        <w:rPr>
          <w:rFonts w:asciiTheme="majorHAnsi" w:hAnsiTheme="majorHAnsi" w:cs="Times New Roman"/>
        </w:rPr>
      </w:pPr>
    </w:p>
    <w:p w:rsidR="006F2B90" w:rsidRPr="006051E1" w:rsidRDefault="00C403D2" w:rsidP="00F75228">
      <w:pPr>
        <w:pStyle w:val="Nagwek2"/>
        <w:spacing w:before="0"/>
        <w:jc w:val="both"/>
        <w:rPr>
          <w:color w:val="auto"/>
        </w:rPr>
      </w:pPr>
      <w:r w:rsidRPr="006051E1">
        <w:rPr>
          <w:color w:val="auto"/>
        </w:rPr>
        <w:t>II. PODSTAWY PRAWNE POSTĘPOWANIA</w:t>
      </w:r>
    </w:p>
    <w:p w:rsidR="00CA6F24" w:rsidRPr="006051E1" w:rsidRDefault="00C403D2" w:rsidP="00F75228">
      <w:pPr>
        <w:jc w:val="both"/>
        <w:rPr>
          <w:rFonts w:asciiTheme="majorHAnsi" w:hAnsiTheme="majorHAnsi"/>
        </w:rPr>
      </w:pPr>
      <w:r w:rsidRPr="006051E1">
        <w:rPr>
          <w:rFonts w:asciiTheme="majorHAnsi" w:hAnsiTheme="majorHAnsi"/>
        </w:rPr>
        <w:t>Sprzedaż</w:t>
      </w:r>
      <w:r w:rsidR="00CA6F24" w:rsidRPr="006051E1">
        <w:rPr>
          <w:rFonts w:asciiTheme="majorHAnsi" w:hAnsiTheme="majorHAnsi"/>
        </w:rPr>
        <w:t xml:space="preserve"> </w:t>
      </w:r>
      <w:r w:rsidRPr="006051E1">
        <w:rPr>
          <w:rFonts w:asciiTheme="majorHAnsi" w:hAnsiTheme="majorHAnsi"/>
        </w:rPr>
        <w:t>wierzytelności nastąpi</w:t>
      </w:r>
      <w:r w:rsidR="00CA6F24" w:rsidRPr="006051E1">
        <w:rPr>
          <w:rFonts w:asciiTheme="majorHAnsi" w:hAnsiTheme="majorHAnsi"/>
        </w:rPr>
        <w:t xml:space="preserve"> w </w:t>
      </w:r>
      <w:r w:rsidRPr="006051E1">
        <w:rPr>
          <w:rFonts w:asciiTheme="majorHAnsi" w:hAnsiTheme="majorHAnsi"/>
        </w:rPr>
        <w:t>trybie wyboru oferty podjętej na podstawie publicznego zaproszenia,</w:t>
      </w:r>
      <w:r w:rsidR="00CA6F24" w:rsidRPr="006051E1">
        <w:rPr>
          <w:rFonts w:asciiTheme="majorHAnsi" w:hAnsiTheme="majorHAnsi"/>
        </w:rPr>
        <w:t xml:space="preserve"> w </w:t>
      </w:r>
      <w:r w:rsidRPr="006051E1">
        <w:rPr>
          <w:rFonts w:asciiTheme="majorHAnsi" w:hAnsiTheme="majorHAnsi"/>
        </w:rPr>
        <w:t>oparciu</w:t>
      </w:r>
      <w:r w:rsidR="00CA6F24" w:rsidRPr="006051E1">
        <w:rPr>
          <w:rFonts w:asciiTheme="majorHAnsi" w:hAnsiTheme="majorHAnsi"/>
        </w:rPr>
        <w:t xml:space="preserve"> o </w:t>
      </w:r>
      <w:r w:rsidRPr="006051E1">
        <w:rPr>
          <w:rFonts w:asciiTheme="majorHAnsi" w:hAnsiTheme="majorHAnsi"/>
        </w:rPr>
        <w:t>przepisy ustaw:</w:t>
      </w:r>
    </w:p>
    <w:p w:rsidR="00CA6F24" w:rsidRPr="006051E1" w:rsidRDefault="00CA6F24" w:rsidP="00706725">
      <w:pPr>
        <w:pStyle w:val="Default"/>
        <w:ind w:left="284" w:hanging="284"/>
        <w:jc w:val="both"/>
        <w:rPr>
          <w:rFonts w:asciiTheme="majorHAnsi" w:hAnsiTheme="majorHAnsi" w:cs="Times New Roman"/>
          <w:color w:val="auto"/>
          <w:sz w:val="23"/>
          <w:szCs w:val="23"/>
        </w:rPr>
      </w:pPr>
      <w:r w:rsidRPr="006051E1">
        <w:rPr>
          <w:rFonts w:asciiTheme="majorHAnsi" w:hAnsiTheme="majorHAnsi" w:cs="Times New Roman"/>
          <w:color w:val="auto"/>
          <w:sz w:val="23"/>
          <w:szCs w:val="23"/>
        </w:rPr>
        <w:t>1.</w:t>
      </w:r>
      <w:r w:rsidRPr="006051E1">
        <w:rPr>
          <w:rFonts w:asciiTheme="majorHAnsi" w:hAnsiTheme="majorHAnsi" w:cs="Times New Roman"/>
          <w:color w:val="auto"/>
          <w:sz w:val="23"/>
          <w:szCs w:val="23"/>
        </w:rPr>
        <w:tab/>
        <w:t>Kodeks cywilny z dnia 23 kwietnia 1964 r. (Dz. U. z 1964 r., Nr 16, poz. 93 z </w:t>
      </w:r>
      <w:proofErr w:type="spellStart"/>
      <w:r w:rsidRPr="006051E1">
        <w:rPr>
          <w:rFonts w:asciiTheme="majorHAnsi" w:hAnsiTheme="majorHAnsi" w:cs="Times New Roman"/>
          <w:color w:val="auto"/>
          <w:sz w:val="23"/>
          <w:szCs w:val="23"/>
        </w:rPr>
        <w:t>późn</w:t>
      </w:r>
      <w:proofErr w:type="spellEnd"/>
      <w:r w:rsidRPr="006051E1">
        <w:rPr>
          <w:rFonts w:asciiTheme="majorHAnsi" w:hAnsiTheme="majorHAnsi" w:cs="Times New Roman"/>
          <w:color w:val="auto"/>
          <w:sz w:val="23"/>
          <w:szCs w:val="23"/>
        </w:rPr>
        <w:t>. zm.), z wyłączeniem przepisów dotyczących oferty, aukcji i przetargu,</w:t>
      </w:r>
    </w:p>
    <w:p w:rsidR="00CA6F24" w:rsidRPr="006051E1" w:rsidRDefault="00CA6F24" w:rsidP="00706725">
      <w:pPr>
        <w:pStyle w:val="Default"/>
        <w:ind w:left="284" w:hanging="284"/>
        <w:jc w:val="both"/>
        <w:rPr>
          <w:rFonts w:asciiTheme="majorHAnsi" w:hAnsiTheme="majorHAnsi" w:cs="Times New Roman"/>
          <w:color w:val="auto"/>
          <w:sz w:val="23"/>
          <w:szCs w:val="23"/>
        </w:rPr>
      </w:pPr>
      <w:r w:rsidRPr="006051E1">
        <w:rPr>
          <w:rFonts w:asciiTheme="majorHAnsi" w:hAnsiTheme="majorHAnsi" w:cs="Times New Roman"/>
          <w:color w:val="auto"/>
          <w:sz w:val="23"/>
          <w:szCs w:val="23"/>
        </w:rPr>
        <w:t>2.</w:t>
      </w:r>
      <w:r w:rsidRPr="006051E1">
        <w:rPr>
          <w:rFonts w:asciiTheme="majorHAnsi" w:hAnsiTheme="majorHAnsi" w:cs="Times New Roman"/>
          <w:color w:val="auto"/>
          <w:sz w:val="23"/>
          <w:szCs w:val="23"/>
        </w:rPr>
        <w:tab/>
        <w:t>o spółdzielczych kasach oszczędnościowo-kredytowych (Dz. U. z dn. 26.07.2012 r. poz. 855 z </w:t>
      </w:r>
      <w:proofErr w:type="spellStart"/>
      <w:r w:rsidRPr="006051E1">
        <w:rPr>
          <w:rFonts w:asciiTheme="majorHAnsi" w:hAnsiTheme="majorHAnsi" w:cs="Times New Roman"/>
          <w:color w:val="auto"/>
          <w:sz w:val="23"/>
          <w:szCs w:val="23"/>
        </w:rPr>
        <w:t>późn</w:t>
      </w:r>
      <w:proofErr w:type="spellEnd"/>
      <w:r w:rsidRPr="006051E1">
        <w:rPr>
          <w:rFonts w:asciiTheme="majorHAnsi" w:hAnsiTheme="majorHAnsi" w:cs="Times New Roman"/>
          <w:color w:val="auto"/>
          <w:sz w:val="23"/>
          <w:szCs w:val="23"/>
        </w:rPr>
        <w:t>. zm.)</w:t>
      </w:r>
    </w:p>
    <w:p w:rsidR="00CA6F24" w:rsidRPr="006051E1" w:rsidRDefault="00CA6F24" w:rsidP="00706725">
      <w:pPr>
        <w:pStyle w:val="Default"/>
        <w:ind w:left="284" w:hanging="284"/>
        <w:jc w:val="both"/>
        <w:rPr>
          <w:rFonts w:asciiTheme="majorHAnsi" w:hAnsiTheme="majorHAnsi" w:cs="Times New Roman"/>
          <w:color w:val="auto"/>
          <w:sz w:val="23"/>
          <w:szCs w:val="23"/>
        </w:rPr>
      </w:pPr>
      <w:r w:rsidRPr="006051E1">
        <w:rPr>
          <w:rFonts w:asciiTheme="majorHAnsi" w:hAnsiTheme="majorHAnsi" w:cs="Times New Roman"/>
          <w:color w:val="auto"/>
          <w:sz w:val="23"/>
          <w:szCs w:val="23"/>
        </w:rPr>
        <w:t>3.</w:t>
      </w:r>
      <w:r w:rsidRPr="006051E1">
        <w:rPr>
          <w:rFonts w:asciiTheme="majorHAnsi" w:hAnsiTheme="majorHAnsi" w:cs="Times New Roman"/>
          <w:color w:val="auto"/>
          <w:sz w:val="23"/>
          <w:szCs w:val="23"/>
        </w:rPr>
        <w:tab/>
        <w:t>o funduszach inwestycyjnych z dnia 27 maja 2004 r. (Dz. U. z dnia 28 czerwca 2004 r. z </w:t>
      </w:r>
      <w:proofErr w:type="spellStart"/>
      <w:r w:rsidRPr="006051E1">
        <w:rPr>
          <w:rFonts w:asciiTheme="majorHAnsi" w:hAnsiTheme="majorHAnsi" w:cs="Times New Roman"/>
          <w:color w:val="auto"/>
          <w:sz w:val="23"/>
          <w:szCs w:val="23"/>
        </w:rPr>
        <w:t>późn</w:t>
      </w:r>
      <w:proofErr w:type="spellEnd"/>
      <w:r w:rsidRPr="006051E1">
        <w:rPr>
          <w:rFonts w:asciiTheme="majorHAnsi" w:hAnsiTheme="majorHAnsi" w:cs="Times New Roman"/>
          <w:color w:val="auto"/>
          <w:sz w:val="23"/>
          <w:szCs w:val="23"/>
        </w:rPr>
        <w:t>. zm.),</w:t>
      </w:r>
    </w:p>
    <w:p w:rsidR="006F2B90" w:rsidRPr="006051E1" w:rsidRDefault="00CA6F24" w:rsidP="00706725">
      <w:pPr>
        <w:pStyle w:val="Default"/>
        <w:ind w:left="284" w:hanging="284"/>
        <w:jc w:val="both"/>
        <w:rPr>
          <w:rFonts w:asciiTheme="majorHAnsi" w:hAnsiTheme="majorHAnsi" w:cs="Times New Roman"/>
          <w:color w:val="auto"/>
          <w:sz w:val="23"/>
          <w:szCs w:val="23"/>
        </w:rPr>
      </w:pPr>
      <w:r w:rsidRPr="006051E1">
        <w:rPr>
          <w:rFonts w:asciiTheme="majorHAnsi" w:hAnsiTheme="majorHAnsi" w:cs="Times New Roman"/>
          <w:color w:val="auto"/>
          <w:sz w:val="23"/>
          <w:szCs w:val="23"/>
        </w:rPr>
        <w:t>4.</w:t>
      </w:r>
      <w:r w:rsidRPr="006051E1">
        <w:rPr>
          <w:rFonts w:asciiTheme="majorHAnsi" w:hAnsiTheme="majorHAnsi" w:cs="Times New Roman"/>
          <w:color w:val="auto"/>
          <w:sz w:val="23"/>
          <w:szCs w:val="23"/>
        </w:rPr>
        <w:tab/>
        <w:t>o ochronie danych osobowych z dnia 29 sierpnia 1997 r. (Dz. U. z 2002 r., Nr 101, poz. 926 z </w:t>
      </w:r>
      <w:proofErr w:type="spellStart"/>
      <w:r w:rsidRPr="006051E1">
        <w:rPr>
          <w:rFonts w:asciiTheme="majorHAnsi" w:hAnsiTheme="majorHAnsi" w:cs="Times New Roman"/>
          <w:color w:val="auto"/>
          <w:sz w:val="23"/>
          <w:szCs w:val="23"/>
        </w:rPr>
        <w:t>późn</w:t>
      </w:r>
      <w:proofErr w:type="spellEnd"/>
      <w:r w:rsidRPr="006051E1">
        <w:rPr>
          <w:rFonts w:asciiTheme="majorHAnsi" w:hAnsiTheme="majorHAnsi" w:cs="Times New Roman"/>
          <w:color w:val="auto"/>
          <w:sz w:val="23"/>
          <w:szCs w:val="23"/>
        </w:rPr>
        <w:t>.</w:t>
      </w:r>
      <w:r w:rsidR="001739DF" w:rsidRPr="006051E1">
        <w:rPr>
          <w:rFonts w:asciiTheme="majorHAnsi" w:hAnsiTheme="majorHAnsi" w:cs="Times New Roman"/>
          <w:color w:val="auto"/>
          <w:sz w:val="23"/>
          <w:szCs w:val="23"/>
        </w:rPr>
        <w:t> </w:t>
      </w:r>
      <w:r w:rsidRPr="006051E1">
        <w:rPr>
          <w:rFonts w:asciiTheme="majorHAnsi" w:hAnsiTheme="majorHAnsi" w:cs="Times New Roman"/>
          <w:color w:val="auto"/>
          <w:sz w:val="23"/>
          <w:szCs w:val="23"/>
        </w:rPr>
        <w:t>zm.)</w:t>
      </w:r>
    </w:p>
    <w:p w:rsidR="00CA6F24" w:rsidRPr="006051E1" w:rsidRDefault="00C403D2" w:rsidP="00706725">
      <w:pPr>
        <w:pStyle w:val="Nagwek2"/>
        <w:jc w:val="both"/>
        <w:rPr>
          <w:color w:val="auto"/>
        </w:rPr>
      </w:pPr>
      <w:r w:rsidRPr="006051E1">
        <w:rPr>
          <w:color w:val="auto"/>
        </w:rPr>
        <w:t>III. WSKAZANIE WIERZYTELNOŚCI</w:t>
      </w:r>
    </w:p>
    <w:p w:rsidR="000C4A7B" w:rsidRPr="006051E1" w:rsidRDefault="00C403D2" w:rsidP="0023554B">
      <w:pPr>
        <w:pStyle w:val="Akapitzlist"/>
        <w:numPr>
          <w:ilvl w:val="0"/>
          <w:numId w:val="12"/>
        </w:numPr>
        <w:ind w:left="284" w:hanging="284"/>
        <w:jc w:val="both"/>
        <w:rPr>
          <w:rFonts w:asciiTheme="majorHAnsi" w:hAnsiTheme="majorHAnsi"/>
        </w:rPr>
      </w:pPr>
      <w:r w:rsidRPr="006051E1">
        <w:rPr>
          <w:rFonts w:asciiTheme="majorHAnsi" w:hAnsiTheme="majorHAnsi"/>
        </w:rPr>
        <w:t xml:space="preserve">Do sprzedaży wierzytelności trudnych SKOK zakwalifikowane zostały wierzytelności wymagalne wobec </w:t>
      </w:r>
      <w:r w:rsidR="000C4A7B" w:rsidRPr="006051E1">
        <w:rPr>
          <w:rFonts w:asciiTheme="majorHAnsi" w:hAnsiTheme="majorHAnsi"/>
        </w:rPr>
        <w:t xml:space="preserve">byłych </w:t>
      </w:r>
      <w:r w:rsidRPr="006051E1">
        <w:rPr>
          <w:rFonts w:asciiTheme="majorHAnsi" w:hAnsiTheme="majorHAnsi"/>
        </w:rPr>
        <w:t xml:space="preserve">członków (osób fizycznych). </w:t>
      </w:r>
    </w:p>
    <w:p w:rsidR="000C4A7B" w:rsidRPr="006051E1" w:rsidRDefault="000C4A7B" w:rsidP="0023554B">
      <w:pPr>
        <w:pStyle w:val="Akapitzlist"/>
        <w:numPr>
          <w:ilvl w:val="0"/>
          <w:numId w:val="12"/>
        </w:numPr>
        <w:ind w:left="284" w:hanging="284"/>
        <w:jc w:val="both"/>
        <w:rPr>
          <w:rFonts w:asciiTheme="majorHAnsi" w:hAnsiTheme="majorHAnsi"/>
        </w:rPr>
      </w:pPr>
      <w:r w:rsidRPr="006051E1">
        <w:rPr>
          <w:rFonts w:asciiTheme="majorHAnsi" w:hAnsiTheme="majorHAnsi"/>
        </w:rPr>
        <w:t xml:space="preserve">SKOK nie przewiduje możliwości segmentacji portfela przez nabywców i rozdzielnego nabycia wyodrębnionego przez nabywcę portfela z puli przeznaczonej do sprzedaży. </w:t>
      </w:r>
    </w:p>
    <w:p w:rsidR="000C4A7B" w:rsidRPr="006051E1" w:rsidRDefault="00C403D2" w:rsidP="0023554B">
      <w:pPr>
        <w:pStyle w:val="Akapitzlist"/>
        <w:numPr>
          <w:ilvl w:val="0"/>
          <w:numId w:val="12"/>
        </w:numPr>
        <w:ind w:left="284" w:hanging="284"/>
        <w:jc w:val="both"/>
        <w:rPr>
          <w:rFonts w:asciiTheme="majorHAnsi" w:hAnsiTheme="majorHAnsi"/>
        </w:rPr>
      </w:pPr>
      <w:r w:rsidRPr="006051E1">
        <w:rPr>
          <w:rFonts w:asciiTheme="majorHAnsi" w:hAnsiTheme="majorHAnsi"/>
        </w:rPr>
        <w:t>Ostateczna wartość</w:t>
      </w:r>
      <w:r w:rsidR="0040347C" w:rsidRPr="006051E1">
        <w:rPr>
          <w:rFonts w:asciiTheme="majorHAnsi" w:hAnsiTheme="majorHAnsi"/>
        </w:rPr>
        <w:t xml:space="preserve"> i </w:t>
      </w:r>
      <w:r w:rsidRPr="006051E1">
        <w:rPr>
          <w:rFonts w:asciiTheme="majorHAnsi" w:hAnsiTheme="majorHAnsi"/>
        </w:rPr>
        <w:t>ilość</w:t>
      </w:r>
      <w:r w:rsidR="00CA6F24" w:rsidRPr="006051E1">
        <w:rPr>
          <w:rFonts w:asciiTheme="majorHAnsi" w:hAnsiTheme="majorHAnsi"/>
        </w:rPr>
        <w:t xml:space="preserve"> </w:t>
      </w:r>
      <w:r w:rsidRPr="006051E1">
        <w:rPr>
          <w:rFonts w:asciiTheme="majorHAnsi" w:hAnsiTheme="majorHAnsi"/>
        </w:rPr>
        <w:t>wierzytelności określona zostanie</w:t>
      </w:r>
      <w:r w:rsidR="00CA6F24" w:rsidRPr="006051E1">
        <w:rPr>
          <w:rFonts w:asciiTheme="majorHAnsi" w:hAnsiTheme="majorHAnsi"/>
        </w:rPr>
        <w:t xml:space="preserve"> w </w:t>
      </w:r>
      <w:r w:rsidRPr="006051E1">
        <w:rPr>
          <w:rFonts w:asciiTheme="majorHAnsi" w:hAnsiTheme="majorHAnsi"/>
        </w:rPr>
        <w:t>umowie sprzedaży.</w:t>
      </w:r>
      <w:r w:rsidR="000C4A7B" w:rsidRPr="006051E1">
        <w:rPr>
          <w:rFonts w:asciiTheme="majorHAnsi" w:hAnsiTheme="majorHAnsi"/>
        </w:rPr>
        <w:t xml:space="preserve"> </w:t>
      </w:r>
    </w:p>
    <w:p w:rsidR="000C4A7B" w:rsidRPr="006051E1" w:rsidRDefault="000C4A7B" w:rsidP="0023554B">
      <w:pPr>
        <w:pStyle w:val="Akapitzlist"/>
        <w:numPr>
          <w:ilvl w:val="0"/>
          <w:numId w:val="12"/>
        </w:numPr>
        <w:ind w:left="284" w:hanging="284"/>
        <w:jc w:val="both"/>
        <w:rPr>
          <w:rFonts w:asciiTheme="majorHAnsi" w:hAnsiTheme="majorHAnsi"/>
        </w:rPr>
      </w:pPr>
      <w:r w:rsidRPr="006051E1">
        <w:rPr>
          <w:rFonts w:asciiTheme="majorHAnsi" w:hAnsiTheme="majorHAnsi"/>
        </w:rPr>
        <w:t xml:space="preserve">SKOK zastrzega sobie prawo wykluczenia z portfela spraw całkowicie spłaconych do daty przejścia praw (cesji). </w:t>
      </w:r>
    </w:p>
    <w:p w:rsidR="00CA6F24" w:rsidRPr="006051E1" w:rsidRDefault="00CA6F24" w:rsidP="00706725">
      <w:pPr>
        <w:jc w:val="both"/>
        <w:rPr>
          <w:rFonts w:asciiTheme="majorHAnsi" w:hAnsiTheme="majorHAnsi"/>
        </w:rPr>
      </w:pPr>
    </w:p>
    <w:p w:rsidR="00CA6F24" w:rsidRPr="006051E1" w:rsidRDefault="00C403D2" w:rsidP="00706725">
      <w:pPr>
        <w:pStyle w:val="Nagwek2"/>
        <w:jc w:val="both"/>
        <w:rPr>
          <w:color w:val="auto"/>
        </w:rPr>
      </w:pPr>
      <w:r w:rsidRPr="006051E1">
        <w:rPr>
          <w:color w:val="auto"/>
        </w:rPr>
        <w:t>IV. TRYB SPRZEDAŻY</w:t>
      </w:r>
    </w:p>
    <w:p w:rsidR="00CA6F24" w:rsidRPr="006051E1" w:rsidRDefault="00C403D2" w:rsidP="00706725">
      <w:pPr>
        <w:pStyle w:val="CM3"/>
        <w:ind w:right="1045"/>
        <w:jc w:val="both"/>
        <w:rPr>
          <w:rFonts w:asciiTheme="majorHAnsi" w:hAnsiTheme="majorHAnsi" w:cs="Times New Roman"/>
          <w:sz w:val="23"/>
          <w:szCs w:val="23"/>
        </w:rPr>
      </w:pPr>
      <w:r w:rsidRPr="006051E1">
        <w:rPr>
          <w:rFonts w:asciiTheme="majorHAnsi" w:hAnsiTheme="majorHAnsi" w:cs="Times New Roman"/>
          <w:sz w:val="23"/>
          <w:szCs w:val="23"/>
        </w:rPr>
        <w:t>Sprzedaż</w:t>
      </w:r>
      <w:r w:rsidR="00CA6F24" w:rsidRPr="006051E1">
        <w:rPr>
          <w:rFonts w:asciiTheme="majorHAnsi" w:hAnsiTheme="majorHAnsi" w:cs="Times New Roman"/>
          <w:sz w:val="23"/>
          <w:szCs w:val="23"/>
        </w:rPr>
        <w:t xml:space="preserve"> </w:t>
      </w:r>
      <w:r w:rsidRPr="006051E1">
        <w:rPr>
          <w:rFonts w:asciiTheme="majorHAnsi" w:hAnsiTheme="majorHAnsi" w:cs="Times New Roman"/>
          <w:sz w:val="23"/>
          <w:szCs w:val="23"/>
        </w:rPr>
        <w:t>wierzytelności nastąpi według poniższego harmonogramu,</w:t>
      </w:r>
      <w:r w:rsidR="00CA6F24" w:rsidRPr="006051E1">
        <w:rPr>
          <w:rFonts w:asciiTheme="majorHAnsi" w:hAnsiTheme="majorHAnsi" w:cs="Times New Roman"/>
          <w:sz w:val="23"/>
          <w:szCs w:val="23"/>
        </w:rPr>
        <w:t xml:space="preserve"> z </w:t>
      </w:r>
      <w:r w:rsidRPr="006051E1">
        <w:rPr>
          <w:rFonts w:asciiTheme="majorHAnsi" w:hAnsiTheme="majorHAnsi" w:cs="Times New Roman"/>
          <w:sz w:val="23"/>
          <w:szCs w:val="23"/>
        </w:rPr>
        <w:t>uwzględnieniem postanowień</w:t>
      </w:r>
      <w:r w:rsidR="00100F0D" w:rsidRPr="006051E1">
        <w:rPr>
          <w:rFonts w:asciiTheme="majorHAnsi" w:hAnsiTheme="majorHAnsi" w:cs="Times New Roman"/>
          <w:sz w:val="23"/>
          <w:szCs w:val="23"/>
        </w:rPr>
        <w:t xml:space="preserve"> </w:t>
      </w:r>
      <w:r w:rsidRPr="006051E1">
        <w:rPr>
          <w:rFonts w:asciiTheme="majorHAnsi" w:hAnsiTheme="majorHAnsi" w:cs="Times New Roman"/>
          <w:sz w:val="23"/>
          <w:szCs w:val="23"/>
        </w:rPr>
        <w:t>pozostałych punktów:</w:t>
      </w:r>
    </w:p>
    <w:p w:rsidR="00100F0D" w:rsidRPr="006051E1" w:rsidRDefault="00100F0D"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t>Zamieszczenie na stronie internetowej SKOK ogłoszenia – zaproszenia do składania przez podmioty zainteresowane pisemnych oświadczeń</w:t>
      </w:r>
      <w:r w:rsidR="0040347C" w:rsidRPr="006051E1">
        <w:rPr>
          <w:rFonts w:asciiTheme="majorHAnsi" w:hAnsiTheme="majorHAnsi"/>
        </w:rPr>
        <w:t xml:space="preserve"> o </w:t>
      </w:r>
      <w:r w:rsidRPr="006051E1">
        <w:rPr>
          <w:rFonts w:asciiTheme="majorHAnsi" w:hAnsiTheme="majorHAnsi"/>
        </w:rPr>
        <w:t>zamiarze nabycia wierzytelności (zgłoszeń);</w:t>
      </w:r>
    </w:p>
    <w:p w:rsidR="00100F0D" w:rsidRPr="006051E1" w:rsidRDefault="00100F0D"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t>Składanie zgłoszeń;</w:t>
      </w:r>
    </w:p>
    <w:p w:rsidR="00100F0D" w:rsidRPr="006051E1" w:rsidRDefault="00100F0D" w:rsidP="00706725">
      <w:pPr>
        <w:ind w:left="284" w:hanging="284"/>
        <w:jc w:val="both"/>
        <w:rPr>
          <w:rFonts w:asciiTheme="majorHAnsi" w:hAnsiTheme="majorHAnsi"/>
        </w:rPr>
      </w:pPr>
      <w:r w:rsidRPr="006051E1">
        <w:rPr>
          <w:rFonts w:asciiTheme="majorHAnsi" w:hAnsiTheme="majorHAnsi"/>
        </w:rPr>
        <w:t>3.</w:t>
      </w:r>
      <w:r w:rsidRPr="006051E1">
        <w:rPr>
          <w:rFonts w:asciiTheme="majorHAnsi" w:hAnsiTheme="majorHAnsi"/>
        </w:rPr>
        <w:tab/>
        <w:t>Powiadomienie zgłaszających</w:t>
      </w:r>
      <w:r w:rsidR="0040347C" w:rsidRPr="006051E1">
        <w:rPr>
          <w:rFonts w:asciiTheme="majorHAnsi" w:hAnsiTheme="majorHAnsi"/>
        </w:rPr>
        <w:t xml:space="preserve"> o </w:t>
      </w:r>
      <w:r w:rsidRPr="006051E1">
        <w:rPr>
          <w:rFonts w:asciiTheme="majorHAnsi" w:hAnsiTheme="majorHAnsi"/>
        </w:rPr>
        <w:t>wyborze lub odrzuceniu zgłoszenia;</w:t>
      </w:r>
    </w:p>
    <w:p w:rsidR="00100F0D" w:rsidRPr="006051E1" w:rsidRDefault="00100F0D" w:rsidP="00706725">
      <w:pPr>
        <w:ind w:left="284" w:hanging="284"/>
        <w:jc w:val="both"/>
        <w:rPr>
          <w:rFonts w:asciiTheme="majorHAnsi" w:hAnsiTheme="majorHAnsi"/>
        </w:rPr>
      </w:pPr>
      <w:r w:rsidRPr="006051E1">
        <w:rPr>
          <w:rFonts w:asciiTheme="majorHAnsi" w:hAnsiTheme="majorHAnsi"/>
        </w:rPr>
        <w:t>4.</w:t>
      </w:r>
      <w:r w:rsidRPr="006051E1">
        <w:rPr>
          <w:rFonts w:asciiTheme="majorHAnsi" w:hAnsiTheme="majorHAnsi"/>
        </w:rPr>
        <w:tab/>
        <w:t>Składanie propozycji cenowych;</w:t>
      </w:r>
    </w:p>
    <w:p w:rsidR="00100F0D" w:rsidRPr="006051E1" w:rsidRDefault="00100F0D" w:rsidP="00706725">
      <w:pPr>
        <w:ind w:left="284" w:hanging="284"/>
        <w:jc w:val="both"/>
        <w:rPr>
          <w:rFonts w:asciiTheme="majorHAnsi" w:hAnsiTheme="majorHAnsi"/>
        </w:rPr>
      </w:pPr>
      <w:r w:rsidRPr="006051E1">
        <w:rPr>
          <w:rFonts w:asciiTheme="majorHAnsi" w:hAnsiTheme="majorHAnsi"/>
        </w:rPr>
        <w:t>5.</w:t>
      </w:r>
      <w:r w:rsidRPr="006051E1">
        <w:rPr>
          <w:rFonts w:asciiTheme="majorHAnsi" w:hAnsiTheme="majorHAnsi"/>
        </w:rPr>
        <w:tab/>
        <w:t>Wyłonienie nabywcy wierzytelności</w:t>
      </w:r>
      <w:r w:rsidR="0040347C" w:rsidRPr="006051E1">
        <w:rPr>
          <w:rFonts w:asciiTheme="majorHAnsi" w:hAnsiTheme="majorHAnsi"/>
        </w:rPr>
        <w:t xml:space="preserve"> i </w:t>
      </w:r>
      <w:r w:rsidRPr="006051E1">
        <w:rPr>
          <w:rFonts w:asciiTheme="majorHAnsi" w:hAnsiTheme="majorHAnsi"/>
        </w:rPr>
        <w:t>jego powiadomienie;</w:t>
      </w:r>
    </w:p>
    <w:p w:rsidR="006F2B90" w:rsidRPr="006051E1" w:rsidRDefault="00100F0D" w:rsidP="00706725">
      <w:pPr>
        <w:ind w:left="284" w:hanging="284"/>
        <w:jc w:val="both"/>
        <w:rPr>
          <w:rFonts w:asciiTheme="majorHAnsi" w:hAnsiTheme="majorHAnsi"/>
        </w:rPr>
      </w:pPr>
      <w:r w:rsidRPr="006051E1">
        <w:rPr>
          <w:rFonts w:asciiTheme="majorHAnsi" w:hAnsiTheme="majorHAnsi"/>
        </w:rPr>
        <w:t>6.</w:t>
      </w:r>
      <w:r w:rsidRPr="006051E1">
        <w:rPr>
          <w:rFonts w:asciiTheme="majorHAnsi" w:hAnsiTheme="majorHAnsi"/>
        </w:rPr>
        <w:tab/>
        <w:t>Podpisanie umowy sprzedaży wierzytelności</w:t>
      </w:r>
      <w:r w:rsidR="0040347C" w:rsidRPr="006051E1">
        <w:rPr>
          <w:rFonts w:asciiTheme="majorHAnsi" w:hAnsiTheme="majorHAnsi"/>
        </w:rPr>
        <w:t xml:space="preserve"> i </w:t>
      </w:r>
      <w:r w:rsidRPr="006051E1">
        <w:rPr>
          <w:rFonts w:asciiTheme="majorHAnsi" w:hAnsiTheme="majorHAnsi"/>
        </w:rPr>
        <w:t>ustalenie warunków wykonania.</w:t>
      </w:r>
    </w:p>
    <w:p w:rsidR="00CA6F24" w:rsidRPr="006051E1" w:rsidRDefault="00C403D2" w:rsidP="00706725">
      <w:pPr>
        <w:pStyle w:val="Nagwek2"/>
        <w:jc w:val="both"/>
        <w:rPr>
          <w:color w:val="auto"/>
        </w:rPr>
      </w:pPr>
      <w:r w:rsidRPr="006051E1">
        <w:rPr>
          <w:color w:val="auto"/>
        </w:rPr>
        <w:t>V. ZASADY OGÓLNE</w:t>
      </w:r>
    </w:p>
    <w:p w:rsidR="0040347C" w:rsidRPr="006051E1" w:rsidRDefault="0040347C"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t>Przedmiotem postępowania będzie uzgodnienie warunków sprzedaży wierzytelności SKOK z wybranymi partnerami.</w:t>
      </w:r>
    </w:p>
    <w:p w:rsidR="0040347C" w:rsidRPr="006051E1" w:rsidRDefault="0040347C"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t>Sprzedaż wierzytelności może nastąpić na rzecz podmiotów prowadzących działalność w formie spółek prawa handlowego: 1) świadczących usługi windykacyjne, 2) świadczących usługi w zakresie obrotu wierzytelnościami, 3) funduszy sekurytyzacyjnych.</w:t>
      </w:r>
    </w:p>
    <w:p w:rsidR="0040347C" w:rsidRPr="006051E1" w:rsidRDefault="0040347C" w:rsidP="00706725">
      <w:pPr>
        <w:ind w:left="284" w:hanging="284"/>
        <w:jc w:val="both"/>
        <w:rPr>
          <w:rFonts w:asciiTheme="majorHAnsi" w:hAnsiTheme="majorHAnsi"/>
        </w:rPr>
      </w:pPr>
      <w:r w:rsidRPr="006051E1">
        <w:rPr>
          <w:rFonts w:asciiTheme="majorHAnsi" w:hAnsiTheme="majorHAnsi"/>
        </w:rPr>
        <w:t>3.</w:t>
      </w:r>
      <w:r w:rsidRPr="006051E1">
        <w:rPr>
          <w:rFonts w:asciiTheme="majorHAnsi" w:hAnsiTheme="majorHAnsi"/>
        </w:rPr>
        <w:tab/>
        <w:t>W odpowiedzi na ogłoszenie SKOK podmioty zainteresowane udziałem w niniejszym postępowaniu złożą pisemne oświadczenia o zamiarze nabycia wierzytelności (zgłoszenia).</w:t>
      </w:r>
    </w:p>
    <w:p w:rsidR="0040347C" w:rsidRPr="006051E1" w:rsidRDefault="0040347C" w:rsidP="00706725">
      <w:pPr>
        <w:ind w:left="284" w:hanging="284"/>
        <w:jc w:val="both"/>
        <w:rPr>
          <w:rFonts w:asciiTheme="majorHAnsi" w:hAnsiTheme="majorHAnsi"/>
        </w:rPr>
      </w:pPr>
      <w:r w:rsidRPr="006051E1">
        <w:rPr>
          <w:rFonts w:asciiTheme="majorHAnsi" w:hAnsiTheme="majorHAnsi"/>
        </w:rPr>
        <w:t>4.</w:t>
      </w:r>
      <w:r w:rsidRPr="006051E1">
        <w:rPr>
          <w:rFonts w:asciiTheme="majorHAnsi" w:hAnsiTheme="majorHAnsi"/>
        </w:rPr>
        <w:tab/>
        <w:t>Wszelkie koszty związane z przygotowaniem i złożeniem zgłoszeń, o których mowa w pkt. V.3. ponosi zgłaszający.</w:t>
      </w:r>
    </w:p>
    <w:p w:rsidR="0040347C" w:rsidRPr="006051E1" w:rsidRDefault="0040347C" w:rsidP="00706725">
      <w:pPr>
        <w:ind w:left="284" w:hanging="284"/>
        <w:jc w:val="both"/>
        <w:rPr>
          <w:rFonts w:asciiTheme="majorHAnsi" w:hAnsiTheme="majorHAnsi"/>
        </w:rPr>
      </w:pPr>
      <w:r w:rsidRPr="006051E1">
        <w:rPr>
          <w:rFonts w:asciiTheme="majorHAnsi" w:hAnsiTheme="majorHAnsi"/>
        </w:rPr>
        <w:lastRenderedPageBreak/>
        <w:t>5.</w:t>
      </w:r>
      <w:r w:rsidRPr="006051E1">
        <w:rPr>
          <w:rFonts w:asciiTheme="majorHAnsi" w:hAnsiTheme="majorHAnsi"/>
        </w:rPr>
        <w:tab/>
        <w:t>W trakcie trwania postępowania SKOK będzie kontaktować się (kierować korespondencję) wyłącznie z osobami wskazanymi do kontaktu w Polsce i/lub do działania w imieniu zgłaszającego na terenie Polski.</w:t>
      </w:r>
    </w:p>
    <w:p w:rsidR="0040347C" w:rsidRPr="006051E1" w:rsidRDefault="0040347C" w:rsidP="00706725">
      <w:pPr>
        <w:ind w:left="284" w:hanging="284"/>
        <w:jc w:val="both"/>
        <w:rPr>
          <w:rFonts w:asciiTheme="majorHAnsi" w:hAnsiTheme="majorHAnsi"/>
        </w:rPr>
      </w:pPr>
      <w:r w:rsidRPr="006051E1">
        <w:rPr>
          <w:rFonts w:asciiTheme="majorHAnsi" w:hAnsiTheme="majorHAnsi"/>
        </w:rPr>
        <w:t>6.</w:t>
      </w:r>
      <w:r w:rsidRPr="006051E1">
        <w:rPr>
          <w:rFonts w:asciiTheme="majorHAnsi" w:hAnsiTheme="majorHAnsi"/>
        </w:rPr>
        <w:tab/>
        <w:t>Językiem postępowania jest język polski. Wszelkie złożone przez zgłaszającego dokumenty dotyczące niniejszego postępowania, winny być sporządzone w języku polskim. W przypadku, gdy zgłaszającym jest podmiot zagraniczny, do dokumentów sporządzonych w języku innym niż język polski dołączyć należy ich tłumaczenie na język polski, sporządzone przez tłumacza przysięgłego.</w:t>
      </w:r>
    </w:p>
    <w:p w:rsidR="0040347C" w:rsidRPr="006051E1" w:rsidRDefault="0040347C" w:rsidP="00706725">
      <w:pPr>
        <w:ind w:left="284" w:hanging="284"/>
        <w:jc w:val="both"/>
        <w:rPr>
          <w:rFonts w:asciiTheme="majorHAnsi" w:hAnsiTheme="majorHAnsi"/>
        </w:rPr>
      </w:pPr>
      <w:r w:rsidRPr="006051E1">
        <w:rPr>
          <w:rFonts w:asciiTheme="majorHAnsi" w:hAnsiTheme="majorHAnsi"/>
        </w:rPr>
        <w:t>7.</w:t>
      </w:r>
      <w:r w:rsidRPr="006051E1">
        <w:rPr>
          <w:rFonts w:asciiTheme="majorHAnsi" w:hAnsiTheme="majorHAnsi"/>
        </w:rPr>
        <w:tab/>
        <w:t>SKOK będzie informować zgłaszających o przebiegu postępowania wysyłając im informację wiadomością e-mail na wskazany adres mailowy. Za dzień otrzymania przez zgłaszającego informacji uważany będzie dzień nadania wiadomości e-mail.</w:t>
      </w:r>
    </w:p>
    <w:p w:rsidR="0040347C" w:rsidRPr="006051E1" w:rsidRDefault="0040347C" w:rsidP="00706725">
      <w:pPr>
        <w:ind w:left="284" w:hanging="284"/>
        <w:jc w:val="both"/>
        <w:rPr>
          <w:rFonts w:asciiTheme="majorHAnsi" w:hAnsiTheme="majorHAnsi"/>
        </w:rPr>
      </w:pPr>
      <w:r w:rsidRPr="006051E1">
        <w:rPr>
          <w:rFonts w:asciiTheme="majorHAnsi" w:hAnsiTheme="majorHAnsi"/>
        </w:rPr>
        <w:t>8.</w:t>
      </w:r>
      <w:r w:rsidRPr="006051E1">
        <w:rPr>
          <w:rFonts w:asciiTheme="majorHAnsi" w:hAnsiTheme="majorHAnsi"/>
        </w:rPr>
        <w:tab/>
        <w:t>Zgłaszający mogą zadawać SKOK pytania przesyłając je drogą mailową.</w:t>
      </w:r>
    </w:p>
    <w:p w:rsidR="00CA6F24" w:rsidRPr="006051E1" w:rsidRDefault="0040347C" w:rsidP="00706725">
      <w:pPr>
        <w:ind w:left="284" w:hanging="284"/>
        <w:jc w:val="both"/>
        <w:rPr>
          <w:rFonts w:asciiTheme="majorHAnsi" w:hAnsiTheme="majorHAnsi"/>
        </w:rPr>
      </w:pPr>
      <w:r w:rsidRPr="006051E1">
        <w:rPr>
          <w:rFonts w:asciiTheme="majorHAnsi" w:hAnsiTheme="majorHAnsi"/>
        </w:rPr>
        <w:t>9.</w:t>
      </w:r>
      <w:r w:rsidRPr="006051E1">
        <w:rPr>
          <w:rFonts w:asciiTheme="majorHAnsi" w:hAnsiTheme="majorHAnsi"/>
        </w:rPr>
        <w:tab/>
        <w:t>SKOK ma prawo odmówić dostępu do informacji stanowiących tajemnice przedsiębiorstwa w rozumieniu przepisów ustawy z dnia 16 kwietnia 1993 r. o zwalczaniu nieuczciwej konkurencji (Dz.U.2003.153.1503 j.t.), jak również podlegających ochronie zgodnie z ustawą z dnia 29 sierpnia 1997 r. o ochronie danych osobowych (Dz.U.2002.101.926 j.t.) oraz tajemnicę zawodową zgodnie z przepisami ustawy z dnia 5 listopada 2009 r. o spółdzielczych kasach oszczędnościowo-kredytowych.</w:t>
      </w:r>
    </w:p>
    <w:p w:rsidR="00CA6F24" w:rsidRPr="006051E1" w:rsidRDefault="00C403D2" w:rsidP="00706725">
      <w:pPr>
        <w:pStyle w:val="Nagwek2"/>
        <w:jc w:val="both"/>
        <w:rPr>
          <w:color w:val="auto"/>
        </w:rPr>
      </w:pPr>
      <w:r w:rsidRPr="006051E1">
        <w:rPr>
          <w:color w:val="auto"/>
        </w:rPr>
        <w:t>VI. WYMAGANIA DOTYCZĄCE OŚWIADCZEŃ</w:t>
      </w:r>
      <w:r w:rsidR="001739DF" w:rsidRPr="006051E1">
        <w:rPr>
          <w:color w:val="auto"/>
        </w:rPr>
        <w:t xml:space="preserve"> </w:t>
      </w:r>
      <w:r w:rsidRPr="006051E1">
        <w:rPr>
          <w:color w:val="auto"/>
        </w:rPr>
        <w:t>O</w:t>
      </w:r>
      <w:r w:rsidR="001739DF" w:rsidRPr="006051E1">
        <w:rPr>
          <w:color w:val="auto"/>
        </w:rPr>
        <w:t> </w:t>
      </w:r>
      <w:r w:rsidRPr="006051E1">
        <w:rPr>
          <w:color w:val="auto"/>
        </w:rPr>
        <w:t>ZAMIARZE NABYCIA WIERZYTELNOŚCI (ZGŁOSZEŃ)</w:t>
      </w:r>
    </w:p>
    <w:p w:rsidR="0049160C" w:rsidRPr="006051E1" w:rsidRDefault="005753E3" w:rsidP="00706725">
      <w:pPr>
        <w:ind w:left="284" w:hanging="284"/>
        <w:jc w:val="both"/>
        <w:rPr>
          <w:rFonts w:asciiTheme="majorHAnsi" w:hAnsiTheme="majorHAnsi"/>
        </w:rPr>
      </w:pPr>
      <w:r>
        <w:rPr>
          <w:rFonts w:asciiTheme="majorHAnsi" w:hAnsiTheme="majorHAnsi"/>
        </w:rPr>
        <w:t>1.</w:t>
      </w:r>
      <w:r>
        <w:rPr>
          <w:rFonts w:asciiTheme="majorHAnsi" w:hAnsiTheme="majorHAnsi"/>
        </w:rPr>
        <w:tab/>
        <w:t>Zgłoszenie</w:t>
      </w:r>
      <w:r w:rsidR="001739DF" w:rsidRPr="006051E1">
        <w:rPr>
          <w:rFonts w:asciiTheme="majorHAnsi" w:hAnsiTheme="majorHAnsi"/>
        </w:rPr>
        <w:t xml:space="preserve"> powinno być sporządzone wyłącznie</w:t>
      </w:r>
      <w:r w:rsidR="00061840" w:rsidRPr="006051E1">
        <w:rPr>
          <w:rFonts w:asciiTheme="majorHAnsi" w:hAnsiTheme="majorHAnsi"/>
        </w:rPr>
        <w:t xml:space="preserve"> w </w:t>
      </w:r>
      <w:r w:rsidR="001739DF" w:rsidRPr="006051E1">
        <w:rPr>
          <w:rFonts w:asciiTheme="majorHAnsi" w:hAnsiTheme="majorHAnsi"/>
        </w:rPr>
        <w:t>języku polskim, nie może zawierać zastrzeżenia warunków wzięcia udziału</w:t>
      </w:r>
      <w:r w:rsidR="00061840" w:rsidRPr="006051E1">
        <w:rPr>
          <w:rFonts w:asciiTheme="majorHAnsi" w:hAnsiTheme="majorHAnsi"/>
        </w:rPr>
        <w:t xml:space="preserve"> w </w:t>
      </w:r>
      <w:r w:rsidR="001739DF" w:rsidRPr="006051E1">
        <w:rPr>
          <w:rFonts w:asciiTheme="majorHAnsi" w:hAnsiTheme="majorHAnsi"/>
        </w:rPr>
        <w:t xml:space="preserve">rokowaniach oraz powinno wskazywać: </w:t>
      </w:r>
    </w:p>
    <w:p w:rsidR="0049160C" w:rsidRPr="006051E1" w:rsidRDefault="001739DF" w:rsidP="00706725">
      <w:pPr>
        <w:ind w:left="284" w:hanging="284"/>
        <w:jc w:val="both"/>
        <w:rPr>
          <w:rFonts w:asciiTheme="majorHAnsi" w:hAnsiTheme="majorHAnsi"/>
        </w:rPr>
      </w:pPr>
      <w:r w:rsidRPr="006051E1">
        <w:rPr>
          <w:rFonts w:asciiTheme="majorHAnsi" w:hAnsiTheme="majorHAnsi"/>
        </w:rPr>
        <w:t xml:space="preserve">1) nazwę zgłaszającego, </w:t>
      </w:r>
    </w:p>
    <w:p w:rsidR="0049160C" w:rsidRPr="006051E1" w:rsidRDefault="001739DF" w:rsidP="00706725">
      <w:pPr>
        <w:ind w:left="284" w:hanging="284"/>
        <w:jc w:val="both"/>
        <w:rPr>
          <w:rFonts w:asciiTheme="majorHAnsi" w:hAnsiTheme="majorHAnsi"/>
        </w:rPr>
      </w:pPr>
      <w:r w:rsidRPr="006051E1">
        <w:rPr>
          <w:rFonts w:asciiTheme="majorHAnsi" w:hAnsiTheme="majorHAnsi"/>
        </w:rPr>
        <w:t>2) siedzibę, adres</w:t>
      </w:r>
      <w:r w:rsidR="00061840" w:rsidRPr="006051E1">
        <w:rPr>
          <w:rFonts w:asciiTheme="majorHAnsi" w:hAnsiTheme="majorHAnsi"/>
        </w:rPr>
        <w:t xml:space="preserve"> i </w:t>
      </w:r>
      <w:r w:rsidRPr="006051E1">
        <w:rPr>
          <w:rFonts w:asciiTheme="majorHAnsi" w:hAnsiTheme="majorHAnsi"/>
        </w:rPr>
        <w:t>inne dane teleadresowe,</w:t>
      </w:r>
      <w:r w:rsidR="00061840" w:rsidRPr="006051E1">
        <w:rPr>
          <w:rFonts w:asciiTheme="majorHAnsi" w:hAnsiTheme="majorHAnsi"/>
        </w:rPr>
        <w:t xml:space="preserve"> w </w:t>
      </w:r>
      <w:r w:rsidRPr="006051E1">
        <w:rPr>
          <w:rFonts w:asciiTheme="majorHAnsi" w:hAnsiTheme="majorHAnsi"/>
        </w:rPr>
        <w:t xml:space="preserve">tym adres e-mail, </w:t>
      </w:r>
    </w:p>
    <w:p w:rsidR="0049160C" w:rsidRPr="006051E1" w:rsidRDefault="001739DF" w:rsidP="00706725">
      <w:pPr>
        <w:ind w:left="284" w:hanging="284"/>
        <w:jc w:val="both"/>
        <w:rPr>
          <w:rFonts w:asciiTheme="majorHAnsi" w:hAnsiTheme="majorHAnsi"/>
        </w:rPr>
      </w:pPr>
      <w:r w:rsidRPr="006051E1">
        <w:rPr>
          <w:rFonts w:asciiTheme="majorHAnsi" w:hAnsiTheme="majorHAnsi"/>
        </w:rPr>
        <w:t>3) dane osób upoważnionych do kontaktu</w:t>
      </w:r>
      <w:r w:rsidR="00061840" w:rsidRPr="006051E1">
        <w:rPr>
          <w:rFonts w:asciiTheme="majorHAnsi" w:hAnsiTheme="majorHAnsi"/>
        </w:rPr>
        <w:t xml:space="preserve"> w </w:t>
      </w:r>
      <w:r w:rsidRPr="006051E1">
        <w:rPr>
          <w:rFonts w:asciiTheme="majorHAnsi" w:hAnsiTheme="majorHAnsi"/>
        </w:rPr>
        <w:t xml:space="preserve">Polsce, </w:t>
      </w:r>
    </w:p>
    <w:p w:rsidR="0049160C" w:rsidRPr="006051E1" w:rsidRDefault="001739DF" w:rsidP="00706725">
      <w:pPr>
        <w:ind w:left="284" w:hanging="284"/>
        <w:jc w:val="both"/>
        <w:rPr>
          <w:rFonts w:asciiTheme="majorHAnsi" w:hAnsiTheme="majorHAnsi"/>
        </w:rPr>
      </w:pPr>
      <w:r w:rsidRPr="006051E1">
        <w:rPr>
          <w:rFonts w:asciiTheme="majorHAnsi" w:hAnsiTheme="majorHAnsi"/>
        </w:rPr>
        <w:t>4) informacje</w:t>
      </w:r>
      <w:r w:rsidR="00061840" w:rsidRPr="006051E1">
        <w:rPr>
          <w:rFonts w:asciiTheme="majorHAnsi" w:hAnsiTheme="majorHAnsi"/>
        </w:rPr>
        <w:t xml:space="preserve"> o </w:t>
      </w:r>
      <w:r w:rsidRPr="006051E1">
        <w:rPr>
          <w:rFonts w:asciiTheme="majorHAnsi" w:hAnsiTheme="majorHAnsi"/>
        </w:rPr>
        <w:t>formie organizacyjno-prawnej – aktualny odpis</w:t>
      </w:r>
      <w:r w:rsidR="00061840" w:rsidRPr="006051E1">
        <w:rPr>
          <w:rFonts w:asciiTheme="majorHAnsi" w:hAnsiTheme="majorHAnsi"/>
        </w:rPr>
        <w:t xml:space="preserve"> z </w:t>
      </w:r>
      <w:r w:rsidRPr="006051E1">
        <w:rPr>
          <w:rFonts w:asciiTheme="majorHAnsi" w:hAnsiTheme="majorHAnsi"/>
        </w:rPr>
        <w:t>KRS, wyciąg</w:t>
      </w:r>
      <w:r w:rsidR="00061840" w:rsidRPr="006051E1">
        <w:rPr>
          <w:rFonts w:asciiTheme="majorHAnsi" w:hAnsiTheme="majorHAnsi"/>
        </w:rPr>
        <w:t xml:space="preserve"> z </w:t>
      </w:r>
      <w:r w:rsidRPr="006051E1">
        <w:rPr>
          <w:rFonts w:asciiTheme="majorHAnsi" w:hAnsiTheme="majorHAnsi"/>
        </w:rPr>
        <w:t xml:space="preserve">rejestru funduszy inwestycyjnych, </w:t>
      </w:r>
    </w:p>
    <w:p w:rsidR="0049160C" w:rsidRPr="006051E1" w:rsidRDefault="001739DF" w:rsidP="00706725">
      <w:pPr>
        <w:ind w:left="284" w:hanging="284"/>
        <w:jc w:val="both"/>
        <w:rPr>
          <w:rFonts w:asciiTheme="majorHAnsi" w:hAnsiTheme="majorHAnsi"/>
        </w:rPr>
      </w:pPr>
      <w:r w:rsidRPr="006051E1">
        <w:rPr>
          <w:rFonts w:asciiTheme="majorHAnsi" w:hAnsiTheme="majorHAnsi"/>
        </w:rPr>
        <w:t>5) informację</w:t>
      </w:r>
      <w:r w:rsidR="00061840" w:rsidRPr="006051E1">
        <w:rPr>
          <w:rFonts w:asciiTheme="majorHAnsi" w:hAnsiTheme="majorHAnsi"/>
        </w:rPr>
        <w:t xml:space="preserve"> o </w:t>
      </w:r>
      <w:r w:rsidRPr="006051E1">
        <w:rPr>
          <w:rFonts w:asciiTheme="majorHAnsi" w:hAnsiTheme="majorHAnsi"/>
        </w:rPr>
        <w:t xml:space="preserve">strukturze własności, </w:t>
      </w:r>
    </w:p>
    <w:p w:rsidR="0049160C" w:rsidRPr="006051E1" w:rsidRDefault="001739DF" w:rsidP="00706725">
      <w:pPr>
        <w:ind w:left="284" w:hanging="284"/>
        <w:jc w:val="both"/>
        <w:rPr>
          <w:rFonts w:asciiTheme="majorHAnsi" w:hAnsiTheme="majorHAnsi"/>
        </w:rPr>
      </w:pPr>
      <w:r w:rsidRPr="006051E1">
        <w:rPr>
          <w:rFonts w:asciiTheme="majorHAnsi" w:hAnsiTheme="majorHAnsi"/>
        </w:rPr>
        <w:t xml:space="preserve">6) datę rozpoczęcia działalności, </w:t>
      </w:r>
    </w:p>
    <w:p w:rsidR="001739DF" w:rsidRPr="006051E1" w:rsidRDefault="001739DF" w:rsidP="00706725">
      <w:pPr>
        <w:ind w:left="284" w:hanging="284"/>
        <w:jc w:val="both"/>
        <w:rPr>
          <w:rFonts w:asciiTheme="majorHAnsi" w:hAnsiTheme="majorHAnsi"/>
        </w:rPr>
      </w:pPr>
      <w:r w:rsidRPr="006051E1">
        <w:rPr>
          <w:rFonts w:asciiTheme="majorHAnsi" w:hAnsiTheme="majorHAnsi"/>
        </w:rPr>
        <w:t>7) datę sporządzenia zgłoszenia,</w:t>
      </w:r>
    </w:p>
    <w:p w:rsidR="0049160C" w:rsidRPr="006051E1" w:rsidRDefault="001739DF"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r>
      <w:r w:rsidR="005753E3">
        <w:rPr>
          <w:rFonts w:asciiTheme="majorHAnsi" w:hAnsiTheme="majorHAnsi"/>
        </w:rPr>
        <w:t>Wraz ze zgłoszeniem</w:t>
      </w:r>
      <w:r w:rsidRPr="006051E1">
        <w:rPr>
          <w:rFonts w:asciiTheme="majorHAnsi" w:hAnsiTheme="majorHAnsi"/>
        </w:rPr>
        <w:t xml:space="preserve"> zgłaszający zobowiązany jest do złożenia: </w:t>
      </w:r>
    </w:p>
    <w:p w:rsidR="0049160C" w:rsidRPr="006051E1" w:rsidRDefault="001739DF" w:rsidP="00706725">
      <w:pPr>
        <w:ind w:left="284" w:hanging="284"/>
        <w:jc w:val="both"/>
        <w:rPr>
          <w:rFonts w:asciiTheme="majorHAnsi" w:hAnsiTheme="majorHAnsi"/>
        </w:rPr>
      </w:pPr>
      <w:r w:rsidRPr="006051E1">
        <w:rPr>
          <w:rFonts w:asciiTheme="majorHAnsi" w:hAnsiTheme="majorHAnsi"/>
        </w:rPr>
        <w:t>1) jednostronnie podpisanego „Porozumienia</w:t>
      </w:r>
      <w:r w:rsidR="00061840" w:rsidRPr="006051E1">
        <w:rPr>
          <w:rFonts w:asciiTheme="majorHAnsi" w:hAnsiTheme="majorHAnsi"/>
        </w:rPr>
        <w:t xml:space="preserve"> o </w:t>
      </w:r>
      <w:r w:rsidRPr="006051E1">
        <w:rPr>
          <w:rFonts w:asciiTheme="majorHAnsi" w:hAnsiTheme="majorHAnsi"/>
        </w:rPr>
        <w:t xml:space="preserve">zachowaniu poufności”, </w:t>
      </w:r>
    </w:p>
    <w:p w:rsidR="0049160C" w:rsidRPr="006051E1" w:rsidRDefault="001739DF" w:rsidP="00706725">
      <w:pPr>
        <w:ind w:left="284" w:hanging="284"/>
        <w:jc w:val="both"/>
        <w:rPr>
          <w:rFonts w:asciiTheme="majorHAnsi" w:hAnsiTheme="majorHAnsi"/>
        </w:rPr>
      </w:pPr>
      <w:r w:rsidRPr="006051E1">
        <w:rPr>
          <w:rFonts w:asciiTheme="majorHAnsi" w:hAnsiTheme="majorHAnsi"/>
        </w:rPr>
        <w:t>2) „Oświadczenia”</w:t>
      </w:r>
      <w:r w:rsidR="00061840" w:rsidRPr="006051E1">
        <w:rPr>
          <w:rFonts w:asciiTheme="majorHAnsi" w:hAnsiTheme="majorHAnsi"/>
        </w:rPr>
        <w:t xml:space="preserve"> o </w:t>
      </w:r>
      <w:r w:rsidRPr="006051E1">
        <w:rPr>
          <w:rFonts w:asciiTheme="majorHAnsi" w:hAnsiTheme="majorHAnsi"/>
        </w:rPr>
        <w:t xml:space="preserve">braku podstaw do wykluczenia, </w:t>
      </w:r>
    </w:p>
    <w:p w:rsidR="001739DF" w:rsidRDefault="005753E3" w:rsidP="00706725">
      <w:pPr>
        <w:ind w:left="284" w:hanging="284"/>
        <w:jc w:val="both"/>
        <w:rPr>
          <w:rFonts w:asciiTheme="majorHAnsi" w:hAnsiTheme="majorHAnsi"/>
        </w:rPr>
      </w:pPr>
      <w:r>
        <w:rPr>
          <w:rFonts w:asciiTheme="majorHAnsi" w:hAnsiTheme="majorHAnsi"/>
        </w:rPr>
        <w:t>3) „Oświadczenia Partnera”,</w:t>
      </w:r>
    </w:p>
    <w:p w:rsidR="005753E3" w:rsidRPr="006051E1" w:rsidRDefault="005753E3" w:rsidP="00706725">
      <w:pPr>
        <w:ind w:left="284" w:hanging="284"/>
        <w:jc w:val="both"/>
        <w:rPr>
          <w:rFonts w:asciiTheme="majorHAnsi" w:hAnsiTheme="majorHAnsi"/>
        </w:rPr>
      </w:pPr>
      <w:r>
        <w:rPr>
          <w:rFonts w:asciiTheme="majorHAnsi" w:hAnsiTheme="majorHAnsi"/>
        </w:rPr>
        <w:t>- według wzoru udostępnionego przez ZSKOK do pobrania na witrynie internetowej.</w:t>
      </w:r>
    </w:p>
    <w:p w:rsidR="001739DF" w:rsidRPr="006051E1" w:rsidRDefault="001739DF" w:rsidP="00706725">
      <w:pPr>
        <w:ind w:left="284" w:hanging="284"/>
        <w:jc w:val="both"/>
        <w:rPr>
          <w:rFonts w:asciiTheme="majorHAnsi" w:hAnsiTheme="majorHAnsi"/>
        </w:rPr>
      </w:pPr>
      <w:r w:rsidRPr="006051E1">
        <w:rPr>
          <w:rFonts w:asciiTheme="majorHAnsi" w:hAnsiTheme="majorHAnsi"/>
        </w:rPr>
        <w:t>3.</w:t>
      </w:r>
      <w:r w:rsidRPr="006051E1">
        <w:rPr>
          <w:rFonts w:asciiTheme="majorHAnsi" w:hAnsiTheme="majorHAnsi"/>
        </w:rPr>
        <w:tab/>
        <w:t>Dokumenty złożone wraz</w:t>
      </w:r>
      <w:r w:rsidR="00061840" w:rsidRPr="006051E1">
        <w:rPr>
          <w:rFonts w:asciiTheme="majorHAnsi" w:hAnsiTheme="majorHAnsi"/>
        </w:rPr>
        <w:t xml:space="preserve"> z</w:t>
      </w:r>
      <w:r w:rsidR="005753E3">
        <w:rPr>
          <w:rFonts w:asciiTheme="majorHAnsi" w:hAnsiTheme="majorHAnsi"/>
        </w:rPr>
        <w:t xml:space="preserve">e zgłoszeniem </w:t>
      </w:r>
      <w:r w:rsidRPr="006051E1">
        <w:rPr>
          <w:rFonts w:asciiTheme="majorHAnsi" w:hAnsiTheme="majorHAnsi"/>
        </w:rPr>
        <w:t>powinny być podpisane,</w:t>
      </w:r>
      <w:r w:rsidR="00061840" w:rsidRPr="006051E1">
        <w:rPr>
          <w:rFonts w:asciiTheme="majorHAnsi" w:hAnsiTheme="majorHAnsi"/>
        </w:rPr>
        <w:t xml:space="preserve"> a </w:t>
      </w:r>
      <w:r w:rsidRPr="006051E1">
        <w:rPr>
          <w:rFonts w:asciiTheme="majorHAnsi" w:hAnsiTheme="majorHAnsi"/>
        </w:rPr>
        <w:t>każda strona oraz załączniki parafowane przez osoby uprawnione do składania oświadczeń woli</w:t>
      </w:r>
      <w:r w:rsidR="00061840" w:rsidRPr="006051E1">
        <w:rPr>
          <w:rFonts w:asciiTheme="majorHAnsi" w:hAnsiTheme="majorHAnsi"/>
        </w:rPr>
        <w:t xml:space="preserve"> i </w:t>
      </w:r>
      <w:r w:rsidRPr="006051E1">
        <w:rPr>
          <w:rFonts w:asciiTheme="majorHAnsi" w:hAnsiTheme="majorHAnsi"/>
        </w:rPr>
        <w:t>zaciągania zobowiązań</w:t>
      </w:r>
      <w:r w:rsidR="00061840" w:rsidRPr="006051E1">
        <w:rPr>
          <w:rFonts w:asciiTheme="majorHAnsi" w:hAnsiTheme="majorHAnsi"/>
        </w:rPr>
        <w:t xml:space="preserve"> w </w:t>
      </w:r>
      <w:r w:rsidRPr="006051E1">
        <w:rPr>
          <w:rFonts w:asciiTheme="majorHAnsi" w:hAnsiTheme="majorHAnsi"/>
        </w:rPr>
        <w:t>imieniu zgłaszającego, zgodnie</w:t>
      </w:r>
      <w:r w:rsidR="00061840" w:rsidRPr="006051E1">
        <w:rPr>
          <w:rFonts w:asciiTheme="majorHAnsi" w:hAnsiTheme="majorHAnsi"/>
        </w:rPr>
        <w:t xml:space="preserve"> z </w:t>
      </w:r>
      <w:r w:rsidRPr="006051E1">
        <w:rPr>
          <w:rFonts w:asciiTheme="majorHAnsi" w:hAnsiTheme="majorHAnsi"/>
        </w:rPr>
        <w:t>dokumentami załączonymi do zgłoszenia.</w:t>
      </w:r>
      <w:r w:rsidR="00061840" w:rsidRPr="006051E1">
        <w:rPr>
          <w:rFonts w:asciiTheme="majorHAnsi" w:hAnsiTheme="majorHAnsi"/>
        </w:rPr>
        <w:t xml:space="preserve"> W </w:t>
      </w:r>
      <w:r w:rsidRPr="006051E1">
        <w:rPr>
          <w:rFonts w:asciiTheme="majorHAnsi" w:hAnsiTheme="majorHAnsi"/>
        </w:rPr>
        <w:t>przypadku składania oświadczeń przez pełnomocników wymagane jest dołączenie do zgłoszenia oryginału pełnomocnictwa szczególnego.</w:t>
      </w:r>
    </w:p>
    <w:p w:rsidR="001739DF" w:rsidRPr="00F248BD" w:rsidRDefault="001739DF" w:rsidP="00706725">
      <w:pPr>
        <w:ind w:left="284" w:hanging="284"/>
        <w:jc w:val="both"/>
        <w:rPr>
          <w:rFonts w:asciiTheme="majorHAnsi" w:hAnsiTheme="majorHAnsi"/>
        </w:rPr>
      </w:pPr>
      <w:r w:rsidRPr="00F248BD">
        <w:rPr>
          <w:rFonts w:asciiTheme="majorHAnsi" w:hAnsiTheme="majorHAnsi"/>
        </w:rPr>
        <w:t>4.</w:t>
      </w:r>
      <w:r w:rsidRPr="00F248BD">
        <w:rPr>
          <w:rFonts w:asciiTheme="majorHAnsi" w:hAnsiTheme="majorHAnsi"/>
        </w:rPr>
        <w:tab/>
        <w:t>Oświadczenia</w:t>
      </w:r>
      <w:r w:rsidR="00293D72" w:rsidRPr="00F248BD">
        <w:rPr>
          <w:rFonts w:asciiTheme="majorHAnsi" w:hAnsiTheme="majorHAnsi"/>
        </w:rPr>
        <w:t>,</w:t>
      </w:r>
      <w:r w:rsidR="00061840" w:rsidRPr="00F248BD">
        <w:rPr>
          <w:rFonts w:asciiTheme="majorHAnsi" w:hAnsiTheme="majorHAnsi"/>
        </w:rPr>
        <w:t xml:space="preserve"> o </w:t>
      </w:r>
      <w:r w:rsidRPr="00F248BD">
        <w:rPr>
          <w:rFonts w:asciiTheme="majorHAnsi" w:hAnsiTheme="majorHAnsi"/>
        </w:rPr>
        <w:t>których mowa</w:t>
      </w:r>
      <w:r w:rsidR="00061840" w:rsidRPr="00F248BD">
        <w:rPr>
          <w:rFonts w:asciiTheme="majorHAnsi" w:hAnsiTheme="majorHAnsi"/>
        </w:rPr>
        <w:t xml:space="preserve"> w </w:t>
      </w:r>
      <w:r w:rsidR="005753E3" w:rsidRPr="00F248BD">
        <w:rPr>
          <w:rFonts w:asciiTheme="majorHAnsi" w:hAnsiTheme="majorHAnsi"/>
        </w:rPr>
        <w:t>ustępach</w:t>
      </w:r>
      <w:r w:rsidRPr="00F248BD">
        <w:rPr>
          <w:rFonts w:asciiTheme="majorHAnsi" w:hAnsiTheme="majorHAnsi"/>
        </w:rPr>
        <w:t xml:space="preserve"> 1</w:t>
      </w:r>
      <w:r w:rsidR="00061840" w:rsidRPr="00F248BD">
        <w:rPr>
          <w:rFonts w:asciiTheme="majorHAnsi" w:hAnsiTheme="majorHAnsi"/>
        </w:rPr>
        <w:t xml:space="preserve"> i </w:t>
      </w:r>
      <w:r w:rsidRPr="00F248BD">
        <w:rPr>
          <w:rFonts w:asciiTheme="majorHAnsi" w:hAnsiTheme="majorHAnsi"/>
        </w:rPr>
        <w:t>2 winny być</w:t>
      </w:r>
      <w:r w:rsidR="00293D72" w:rsidRPr="00F248BD">
        <w:rPr>
          <w:rFonts w:asciiTheme="majorHAnsi" w:hAnsiTheme="majorHAnsi"/>
        </w:rPr>
        <w:t xml:space="preserve"> </w:t>
      </w:r>
      <w:r w:rsidR="0049160C" w:rsidRPr="00F248BD">
        <w:rPr>
          <w:rFonts w:asciiTheme="majorHAnsi" w:hAnsiTheme="majorHAnsi"/>
        </w:rPr>
        <w:t xml:space="preserve">przesłane do dnia </w:t>
      </w:r>
      <w:r w:rsidR="00C362C0">
        <w:rPr>
          <w:rFonts w:asciiTheme="majorHAnsi" w:hAnsiTheme="majorHAnsi"/>
        </w:rPr>
        <w:t>02.04.2023</w:t>
      </w:r>
      <w:r w:rsidRPr="00F248BD">
        <w:rPr>
          <w:rFonts w:asciiTheme="majorHAnsi" w:hAnsiTheme="majorHAnsi"/>
        </w:rPr>
        <w:t xml:space="preserve"> r. </w:t>
      </w:r>
      <w:r w:rsidR="002B0AF4" w:rsidRPr="00F248BD">
        <w:rPr>
          <w:rFonts w:asciiTheme="majorHAnsi" w:hAnsiTheme="majorHAnsi"/>
        </w:rPr>
        <w:t>pod</w:t>
      </w:r>
      <w:r w:rsidR="00293D72" w:rsidRPr="00F248BD">
        <w:rPr>
          <w:rFonts w:asciiTheme="majorHAnsi" w:hAnsiTheme="majorHAnsi"/>
        </w:rPr>
        <w:t xml:space="preserve"> </w:t>
      </w:r>
      <w:r w:rsidRPr="00F248BD">
        <w:rPr>
          <w:rFonts w:asciiTheme="majorHAnsi" w:hAnsiTheme="majorHAnsi"/>
        </w:rPr>
        <w:t>adres email</w:t>
      </w:r>
      <w:r w:rsidR="00273A0D" w:rsidRPr="00F248BD">
        <w:rPr>
          <w:rFonts w:asciiTheme="majorHAnsi" w:hAnsiTheme="majorHAnsi"/>
        </w:rPr>
        <w:t xml:space="preserve">: </w:t>
      </w:r>
      <w:hyperlink r:id="rId8" w:history="1">
        <w:r w:rsidR="00273A0D" w:rsidRPr="00F248BD">
          <w:rPr>
            <w:rStyle w:val="Hipercze"/>
            <w:rFonts w:asciiTheme="majorHAnsi" w:hAnsiTheme="majorHAnsi"/>
          </w:rPr>
          <w:t>cesjawierzytelnosci@zskok.pl</w:t>
        </w:r>
      </w:hyperlink>
      <w:r w:rsidR="00273A0D" w:rsidRPr="00F248BD">
        <w:rPr>
          <w:rFonts w:asciiTheme="majorHAnsi" w:hAnsiTheme="majorHAnsi"/>
        </w:rPr>
        <w:t xml:space="preserve"> </w:t>
      </w:r>
      <w:r w:rsidRPr="00F248BD">
        <w:rPr>
          <w:rFonts w:asciiTheme="majorHAnsi" w:hAnsiTheme="majorHAnsi"/>
        </w:rPr>
        <w:t>,</w:t>
      </w:r>
      <w:r w:rsidR="00061840" w:rsidRPr="00F248BD">
        <w:rPr>
          <w:rFonts w:asciiTheme="majorHAnsi" w:hAnsiTheme="majorHAnsi"/>
        </w:rPr>
        <w:t xml:space="preserve"> a </w:t>
      </w:r>
      <w:r w:rsidRPr="00F248BD">
        <w:rPr>
          <w:rFonts w:asciiTheme="majorHAnsi" w:hAnsiTheme="majorHAnsi"/>
        </w:rPr>
        <w:t>następnie</w:t>
      </w:r>
      <w:r w:rsidR="00061840" w:rsidRPr="00F248BD">
        <w:rPr>
          <w:rFonts w:asciiTheme="majorHAnsi" w:hAnsiTheme="majorHAnsi"/>
        </w:rPr>
        <w:t xml:space="preserve"> w </w:t>
      </w:r>
      <w:r w:rsidR="0049160C" w:rsidRPr="00F248BD">
        <w:rPr>
          <w:rFonts w:asciiTheme="majorHAnsi" w:hAnsiTheme="majorHAnsi"/>
        </w:rPr>
        <w:t xml:space="preserve">terminie do </w:t>
      </w:r>
      <w:r w:rsidR="00C362C0">
        <w:rPr>
          <w:rFonts w:asciiTheme="majorHAnsi" w:hAnsiTheme="majorHAnsi"/>
        </w:rPr>
        <w:t>04.04.2023</w:t>
      </w:r>
      <w:r w:rsidRPr="00F248BD">
        <w:rPr>
          <w:rFonts w:asciiTheme="majorHAnsi" w:hAnsiTheme="majorHAnsi"/>
        </w:rPr>
        <w:t xml:space="preserve"> r.</w:t>
      </w:r>
      <w:r w:rsidR="00061840" w:rsidRPr="00F248BD">
        <w:rPr>
          <w:rFonts w:asciiTheme="majorHAnsi" w:hAnsiTheme="majorHAnsi"/>
        </w:rPr>
        <w:t xml:space="preserve"> w </w:t>
      </w:r>
      <w:r w:rsidRPr="00F248BD">
        <w:rPr>
          <w:rFonts w:asciiTheme="majorHAnsi" w:hAnsiTheme="majorHAnsi"/>
        </w:rPr>
        <w:t>oryginale.</w:t>
      </w:r>
    </w:p>
    <w:p w:rsidR="006F2B90" w:rsidRPr="00F248BD" w:rsidRDefault="002B0AF4" w:rsidP="00706725">
      <w:pPr>
        <w:ind w:left="284" w:hanging="284"/>
        <w:jc w:val="both"/>
        <w:rPr>
          <w:rFonts w:asciiTheme="majorHAnsi" w:hAnsiTheme="majorHAnsi"/>
        </w:rPr>
      </w:pPr>
      <w:r w:rsidRPr="00F248BD">
        <w:rPr>
          <w:rFonts w:asciiTheme="majorHAnsi" w:hAnsiTheme="majorHAnsi"/>
        </w:rPr>
        <w:t xml:space="preserve">5. </w:t>
      </w:r>
      <w:r w:rsidR="001739DF" w:rsidRPr="00F248BD">
        <w:rPr>
          <w:rFonts w:asciiTheme="majorHAnsi" w:hAnsiTheme="majorHAnsi"/>
        </w:rPr>
        <w:t>W przypadku uznania, iż</w:t>
      </w:r>
      <w:r w:rsidR="00293D72" w:rsidRPr="00F248BD">
        <w:rPr>
          <w:rFonts w:asciiTheme="majorHAnsi" w:hAnsiTheme="majorHAnsi"/>
        </w:rPr>
        <w:t xml:space="preserve"> </w:t>
      </w:r>
      <w:r w:rsidR="001739DF" w:rsidRPr="00F248BD">
        <w:rPr>
          <w:rFonts w:asciiTheme="majorHAnsi" w:hAnsiTheme="majorHAnsi"/>
        </w:rPr>
        <w:t>złożone zgłoszenia spełnia niniejsze wymagania, osoby</w:t>
      </w:r>
      <w:r w:rsidR="00293D72" w:rsidRPr="00F248BD">
        <w:rPr>
          <w:rFonts w:asciiTheme="majorHAnsi" w:hAnsiTheme="majorHAnsi"/>
        </w:rPr>
        <w:t xml:space="preserve"> </w:t>
      </w:r>
      <w:r w:rsidR="001739DF" w:rsidRPr="00F248BD">
        <w:rPr>
          <w:rFonts w:asciiTheme="majorHAnsi" w:hAnsiTheme="majorHAnsi"/>
        </w:rPr>
        <w:t>upoważnione do działania</w:t>
      </w:r>
      <w:r w:rsidR="00061840" w:rsidRPr="00F248BD">
        <w:rPr>
          <w:rFonts w:asciiTheme="majorHAnsi" w:hAnsiTheme="majorHAnsi"/>
        </w:rPr>
        <w:t xml:space="preserve"> w </w:t>
      </w:r>
      <w:r w:rsidR="001739DF" w:rsidRPr="00F248BD">
        <w:rPr>
          <w:rFonts w:asciiTheme="majorHAnsi" w:hAnsiTheme="majorHAnsi"/>
        </w:rPr>
        <w:t>imieniu SKOK podpisują</w:t>
      </w:r>
      <w:r w:rsidR="00293D72" w:rsidRPr="00F248BD">
        <w:rPr>
          <w:rFonts w:asciiTheme="majorHAnsi" w:hAnsiTheme="majorHAnsi"/>
        </w:rPr>
        <w:t xml:space="preserve"> „</w:t>
      </w:r>
      <w:r w:rsidR="001739DF" w:rsidRPr="00F248BD">
        <w:rPr>
          <w:rFonts w:asciiTheme="majorHAnsi" w:hAnsiTheme="majorHAnsi"/>
        </w:rPr>
        <w:t>Porozumienie</w:t>
      </w:r>
      <w:r w:rsidR="00061840" w:rsidRPr="00F248BD">
        <w:rPr>
          <w:rFonts w:asciiTheme="majorHAnsi" w:hAnsiTheme="majorHAnsi"/>
        </w:rPr>
        <w:t xml:space="preserve"> o </w:t>
      </w:r>
      <w:r w:rsidR="001739DF" w:rsidRPr="00F248BD">
        <w:rPr>
          <w:rFonts w:asciiTheme="majorHAnsi" w:hAnsiTheme="majorHAnsi"/>
        </w:rPr>
        <w:t>zachowaniu</w:t>
      </w:r>
      <w:r w:rsidR="00293D72" w:rsidRPr="00F248BD">
        <w:rPr>
          <w:rFonts w:asciiTheme="majorHAnsi" w:hAnsiTheme="majorHAnsi"/>
        </w:rPr>
        <w:t xml:space="preserve"> </w:t>
      </w:r>
      <w:r w:rsidR="001739DF" w:rsidRPr="00F248BD">
        <w:rPr>
          <w:rFonts w:asciiTheme="majorHAnsi" w:hAnsiTheme="majorHAnsi"/>
        </w:rPr>
        <w:t>poufności”. Egzemplarz porozumienia przeznaczony dla zgłaszającego zostanie odesłany</w:t>
      </w:r>
      <w:r w:rsidR="00293D72" w:rsidRPr="00F248BD">
        <w:rPr>
          <w:rFonts w:asciiTheme="majorHAnsi" w:hAnsiTheme="majorHAnsi"/>
        </w:rPr>
        <w:t xml:space="preserve"> </w:t>
      </w:r>
      <w:r w:rsidR="001739DF" w:rsidRPr="00F248BD">
        <w:rPr>
          <w:rFonts w:asciiTheme="majorHAnsi" w:hAnsiTheme="majorHAnsi"/>
        </w:rPr>
        <w:t>pocztą.</w:t>
      </w:r>
    </w:p>
    <w:p w:rsidR="00CA6F24" w:rsidRPr="00F248BD" w:rsidRDefault="00C403D2" w:rsidP="00706725">
      <w:pPr>
        <w:pStyle w:val="Nagwek2"/>
        <w:jc w:val="both"/>
        <w:rPr>
          <w:color w:val="auto"/>
        </w:rPr>
      </w:pPr>
      <w:r w:rsidRPr="00F248BD">
        <w:rPr>
          <w:color w:val="auto"/>
        </w:rPr>
        <w:t>VII. WYMAGANIA DOTYCZĄCE ZGŁOSZEŃ</w:t>
      </w:r>
      <w:r w:rsidR="00293D72" w:rsidRPr="00F248BD">
        <w:rPr>
          <w:color w:val="auto"/>
        </w:rPr>
        <w:t xml:space="preserve"> </w:t>
      </w:r>
      <w:r w:rsidRPr="00F248BD">
        <w:rPr>
          <w:color w:val="auto"/>
        </w:rPr>
        <w:t>DOTYCZĄCYCH PROPOZYCJI CENOWYCH ZAKUPU WIERZYTELNOŚCI</w:t>
      </w:r>
    </w:p>
    <w:p w:rsidR="00293D72" w:rsidRPr="00F248BD" w:rsidRDefault="00293D72" w:rsidP="00706725">
      <w:pPr>
        <w:ind w:left="284" w:hanging="284"/>
        <w:jc w:val="both"/>
        <w:rPr>
          <w:rFonts w:asciiTheme="majorHAnsi" w:hAnsiTheme="majorHAnsi"/>
        </w:rPr>
      </w:pPr>
      <w:r w:rsidRPr="00F248BD">
        <w:rPr>
          <w:rFonts w:asciiTheme="majorHAnsi" w:hAnsiTheme="majorHAnsi"/>
        </w:rPr>
        <w:t>1.</w:t>
      </w:r>
      <w:r w:rsidRPr="00F248BD">
        <w:rPr>
          <w:rFonts w:asciiTheme="majorHAnsi" w:hAnsiTheme="majorHAnsi"/>
        </w:rPr>
        <w:tab/>
        <w:t>SKOK przewiduje jednorazową płatność ceny</w:t>
      </w:r>
      <w:r w:rsidR="00061840" w:rsidRPr="00F248BD">
        <w:rPr>
          <w:rFonts w:asciiTheme="majorHAnsi" w:hAnsiTheme="majorHAnsi"/>
        </w:rPr>
        <w:t xml:space="preserve"> w </w:t>
      </w:r>
      <w:r w:rsidR="0040538B" w:rsidRPr="00F248BD">
        <w:rPr>
          <w:rFonts w:asciiTheme="majorHAnsi" w:hAnsiTheme="majorHAnsi"/>
        </w:rPr>
        <w:t xml:space="preserve">terminie do dnia </w:t>
      </w:r>
      <w:r w:rsidR="00C362C0">
        <w:rPr>
          <w:rFonts w:asciiTheme="majorHAnsi" w:hAnsiTheme="majorHAnsi"/>
        </w:rPr>
        <w:t>15.05.2023</w:t>
      </w:r>
      <w:r w:rsidRPr="00F248BD">
        <w:rPr>
          <w:rFonts w:asciiTheme="majorHAnsi" w:hAnsiTheme="majorHAnsi"/>
        </w:rPr>
        <w:t xml:space="preserve"> r.</w:t>
      </w:r>
    </w:p>
    <w:p w:rsidR="00293D72" w:rsidRPr="00F248BD" w:rsidRDefault="00293D72" w:rsidP="00706725">
      <w:pPr>
        <w:ind w:left="284" w:hanging="284"/>
        <w:jc w:val="both"/>
        <w:rPr>
          <w:rFonts w:asciiTheme="majorHAnsi" w:hAnsiTheme="majorHAnsi"/>
        </w:rPr>
      </w:pPr>
      <w:r w:rsidRPr="00F248BD">
        <w:rPr>
          <w:rFonts w:asciiTheme="majorHAnsi" w:hAnsiTheme="majorHAnsi"/>
        </w:rPr>
        <w:t>2.</w:t>
      </w:r>
      <w:r w:rsidRPr="00F248BD">
        <w:rPr>
          <w:rFonts w:asciiTheme="majorHAnsi" w:hAnsiTheme="majorHAnsi"/>
        </w:rPr>
        <w:tab/>
        <w:t>Sposób zapłaty – kwota zapłaty środkami pieniężnymi.</w:t>
      </w:r>
    </w:p>
    <w:p w:rsidR="00293D72" w:rsidRPr="00F248BD" w:rsidRDefault="00293D72" w:rsidP="00706725">
      <w:pPr>
        <w:ind w:left="284" w:hanging="284"/>
        <w:jc w:val="both"/>
        <w:rPr>
          <w:rFonts w:asciiTheme="majorHAnsi" w:hAnsiTheme="majorHAnsi"/>
        </w:rPr>
      </w:pPr>
      <w:r w:rsidRPr="00F248BD">
        <w:rPr>
          <w:rFonts w:asciiTheme="majorHAnsi" w:hAnsiTheme="majorHAnsi"/>
        </w:rPr>
        <w:t>3.</w:t>
      </w:r>
      <w:r w:rsidRPr="00F248BD">
        <w:rPr>
          <w:rFonts w:asciiTheme="majorHAnsi" w:hAnsiTheme="majorHAnsi"/>
        </w:rPr>
        <w:tab/>
        <w:t>Oznaczenie ceny</w:t>
      </w:r>
      <w:r w:rsidR="00061840" w:rsidRPr="00F248BD">
        <w:rPr>
          <w:rFonts w:asciiTheme="majorHAnsi" w:hAnsiTheme="majorHAnsi"/>
        </w:rPr>
        <w:t xml:space="preserve"> w </w:t>
      </w:r>
      <w:r w:rsidRPr="00F248BD">
        <w:rPr>
          <w:rFonts w:asciiTheme="majorHAnsi" w:hAnsiTheme="majorHAnsi"/>
        </w:rPr>
        <w:t>złotych polskich</w:t>
      </w:r>
      <w:r w:rsidR="00061840" w:rsidRPr="00F248BD">
        <w:rPr>
          <w:rFonts w:asciiTheme="majorHAnsi" w:hAnsiTheme="majorHAnsi"/>
        </w:rPr>
        <w:t xml:space="preserve"> w </w:t>
      </w:r>
      <w:r w:rsidRPr="00F248BD">
        <w:rPr>
          <w:rFonts w:asciiTheme="majorHAnsi" w:hAnsiTheme="majorHAnsi"/>
        </w:rPr>
        <w:t>zaokrągleniu do 100 zł, przy czym cena nie może odnosić się do cen innych uczestników, ani też zawierać przedziałów kwotowych.</w:t>
      </w:r>
    </w:p>
    <w:p w:rsidR="006F2B90" w:rsidRPr="006051E1" w:rsidRDefault="00293D72" w:rsidP="00706725">
      <w:pPr>
        <w:ind w:left="284" w:hanging="284"/>
        <w:jc w:val="both"/>
        <w:rPr>
          <w:rFonts w:asciiTheme="majorHAnsi" w:hAnsiTheme="majorHAnsi"/>
        </w:rPr>
      </w:pPr>
      <w:r w:rsidRPr="00F248BD">
        <w:rPr>
          <w:rFonts w:asciiTheme="majorHAnsi" w:hAnsiTheme="majorHAnsi"/>
        </w:rPr>
        <w:t>4.</w:t>
      </w:r>
      <w:r w:rsidRPr="00F248BD">
        <w:rPr>
          <w:rFonts w:asciiTheme="majorHAnsi" w:hAnsiTheme="majorHAnsi"/>
        </w:rPr>
        <w:tab/>
        <w:t>Zgł</w:t>
      </w:r>
      <w:bookmarkStart w:id="0" w:name="_GoBack"/>
      <w:bookmarkEnd w:id="0"/>
      <w:r w:rsidRPr="00F248BD">
        <w:rPr>
          <w:rFonts w:asciiTheme="majorHAnsi" w:hAnsiTheme="majorHAnsi"/>
        </w:rPr>
        <w:t>oszenia propozycji ceny nabycia wierzytelności należy umieścić w zamkniętej kopercie</w:t>
      </w:r>
      <w:r w:rsidR="00061840" w:rsidRPr="00F248BD">
        <w:rPr>
          <w:rFonts w:asciiTheme="majorHAnsi" w:hAnsiTheme="majorHAnsi"/>
        </w:rPr>
        <w:t xml:space="preserve"> w </w:t>
      </w:r>
      <w:r w:rsidRPr="00F248BD">
        <w:rPr>
          <w:rFonts w:asciiTheme="majorHAnsi" w:hAnsiTheme="majorHAnsi"/>
        </w:rPr>
        <w:t>sposób uniemożliwiający jej otwarcie</w:t>
      </w:r>
      <w:r w:rsidR="00061840" w:rsidRPr="00F248BD">
        <w:rPr>
          <w:rFonts w:asciiTheme="majorHAnsi" w:hAnsiTheme="majorHAnsi"/>
        </w:rPr>
        <w:t xml:space="preserve"> i </w:t>
      </w:r>
      <w:r w:rsidRPr="00F248BD">
        <w:rPr>
          <w:rFonts w:asciiTheme="majorHAnsi" w:hAnsiTheme="majorHAnsi"/>
        </w:rPr>
        <w:t>odczytanie bez uszkodzenia opakowania przez osoby postronne. Kopertę należy zaadresować na SKOK wraz</w:t>
      </w:r>
      <w:r w:rsidR="00061840" w:rsidRPr="00F248BD">
        <w:rPr>
          <w:rFonts w:asciiTheme="majorHAnsi" w:hAnsiTheme="majorHAnsi"/>
        </w:rPr>
        <w:t xml:space="preserve"> z </w:t>
      </w:r>
      <w:r w:rsidRPr="00F248BD">
        <w:rPr>
          <w:rFonts w:asciiTheme="majorHAnsi" w:hAnsiTheme="majorHAnsi"/>
        </w:rPr>
        <w:t>dopiskiem „Zgłoszenie –</w:t>
      </w:r>
      <w:r w:rsidR="00061840" w:rsidRPr="00F248BD">
        <w:rPr>
          <w:rFonts w:asciiTheme="majorHAnsi" w:hAnsiTheme="majorHAnsi"/>
        </w:rPr>
        <w:t xml:space="preserve"> </w:t>
      </w:r>
      <w:r w:rsidRPr="00F248BD">
        <w:rPr>
          <w:rFonts w:asciiTheme="majorHAnsi" w:hAnsiTheme="majorHAnsi"/>
        </w:rPr>
        <w:t>zamiar nabycia wierzytelności II etap”. Kopertę należy dostar</w:t>
      </w:r>
      <w:r w:rsidR="0040538B" w:rsidRPr="00F248BD">
        <w:rPr>
          <w:rFonts w:asciiTheme="majorHAnsi" w:hAnsiTheme="majorHAnsi"/>
        </w:rPr>
        <w:t xml:space="preserve">czyć do siedziby SKOK </w:t>
      </w:r>
      <w:r w:rsidR="0040538B" w:rsidRPr="00C362C0">
        <w:rPr>
          <w:rFonts w:asciiTheme="majorHAnsi" w:hAnsiTheme="majorHAnsi"/>
        </w:rPr>
        <w:t xml:space="preserve">do dnia </w:t>
      </w:r>
      <w:r w:rsidR="00C362C0" w:rsidRPr="00C362C0">
        <w:rPr>
          <w:rFonts w:asciiTheme="majorHAnsi" w:hAnsiTheme="majorHAnsi"/>
        </w:rPr>
        <w:t>18.04.2023</w:t>
      </w:r>
      <w:r w:rsidRPr="00C362C0">
        <w:rPr>
          <w:rFonts w:asciiTheme="majorHAnsi" w:hAnsiTheme="majorHAnsi"/>
        </w:rPr>
        <w:t xml:space="preserve"> r. godz. 16</w:t>
      </w:r>
      <w:r w:rsidR="00061840" w:rsidRPr="00C362C0">
        <w:rPr>
          <w:rFonts w:asciiTheme="majorHAnsi" w:hAnsiTheme="majorHAnsi"/>
        </w:rPr>
        <w:t>:</w:t>
      </w:r>
      <w:r w:rsidRPr="00C362C0">
        <w:rPr>
          <w:rFonts w:asciiTheme="majorHAnsi" w:hAnsiTheme="majorHAnsi"/>
        </w:rPr>
        <w:t>00.</w:t>
      </w:r>
    </w:p>
    <w:p w:rsidR="00CA6F24" w:rsidRPr="006051E1" w:rsidRDefault="00C403D2" w:rsidP="00706725">
      <w:pPr>
        <w:pStyle w:val="Nagwek2"/>
        <w:jc w:val="both"/>
        <w:rPr>
          <w:color w:val="auto"/>
        </w:rPr>
      </w:pPr>
      <w:r w:rsidRPr="006051E1">
        <w:rPr>
          <w:color w:val="auto"/>
        </w:rPr>
        <w:lastRenderedPageBreak/>
        <w:t>VIII. WYMAGANIA DOTYCZĄCE NABYWCY WIERZYTELNOŚCI:</w:t>
      </w:r>
    </w:p>
    <w:p w:rsidR="00061840" w:rsidRPr="006051E1" w:rsidRDefault="00061840" w:rsidP="00706725">
      <w:pPr>
        <w:jc w:val="both"/>
        <w:rPr>
          <w:rFonts w:asciiTheme="majorHAnsi" w:hAnsiTheme="majorHAnsi"/>
        </w:rPr>
      </w:pPr>
      <w:r w:rsidRPr="006051E1">
        <w:rPr>
          <w:rFonts w:asciiTheme="majorHAnsi" w:hAnsiTheme="majorHAnsi"/>
        </w:rPr>
        <w:t>Nabywcą wierzytelności nie może być:</w:t>
      </w:r>
    </w:p>
    <w:p w:rsidR="00061840" w:rsidRPr="006051E1" w:rsidRDefault="00061840"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t>Dłużnik główny sprzedawanych wierzytelno</w:t>
      </w:r>
      <w:r w:rsidR="000C73E3" w:rsidRPr="006051E1">
        <w:rPr>
          <w:rFonts w:asciiTheme="majorHAnsi" w:hAnsiTheme="majorHAnsi"/>
        </w:rPr>
        <w:t>ści oraz współmałżonek dłużnika.</w:t>
      </w:r>
    </w:p>
    <w:p w:rsidR="00061840" w:rsidRPr="006051E1" w:rsidRDefault="00061840"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t>Osoba będąca</w:t>
      </w:r>
      <w:r w:rsidR="000C73E3" w:rsidRPr="006051E1">
        <w:rPr>
          <w:rFonts w:asciiTheme="majorHAnsi" w:hAnsiTheme="majorHAnsi"/>
        </w:rPr>
        <w:t xml:space="preserve"> wstępnym lub zstępnym dłużnika.</w:t>
      </w:r>
    </w:p>
    <w:p w:rsidR="00061840" w:rsidRPr="006051E1" w:rsidRDefault="00061840" w:rsidP="00706725">
      <w:pPr>
        <w:ind w:left="284" w:hanging="284"/>
        <w:jc w:val="both"/>
        <w:rPr>
          <w:rFonts w:asciiTheme="majorHAnsi" w:hAnsiTheme="majorHAnsi"/>
        </w:rPr>
      </w:pPr>
      <w:r w:rsidRPr="006051E1">
        <w:rPr>
          <w:rFonts w:asciiTheme="majorHAnsi" w:hAnsiTheme="majorHAnsi"/>
        </w:rPr>
        <w:t>3.</w:t>
      </w:r>
      <w:r w:rsidRPr="006051E1">
        <w:rPr>
          <w:rFonts w:asciiTheme="majorHAnsi" w:hAnsiTheme="majorHAnsi"/>
        </w:rPr>
        <w:tab/>
        <w:t>Podmiot będący</w:t>
      </w:r>
      <w:r w:rsidR="00762921" w:rsidRPr="006051E1">
        <w:rPr>
          <w:rFonts w:asciiTheme="majorHAnsi" w:hAnsiTheme="majorHAnsi"/>
        </w:rPr>
        <w:t xml:space="preserve"> w </w:t>
      </w:r>
      <w:r w:rsidRPr="006051E1">
        <w:rPr>
          <w:rFonts w:asciiTheme="majorHAnsi" w:hAnsiTheme="majorHAnsi"/>
        </w:rPr>
        <w:t>stosunku do dłużnika podmiotem dominującym lub zależnym</w:t>
      </w:r>
      <w:r w:rsidR="00762921" w:rsidRPr="006051E1">
        <w:rPr>
          <w:rFonts w:asciiTheme="majorHAnsi" w:hAnsiTheme="majorHAnsi"/>
        </w:rPr>
        <w:t xml:space="preserve"> w </w:t>
      </w:r>
      <w:r w:rsidRPr="006051E1">
        <w:rPr>
          <w:rFonts w:asciiTheme="majorHAnsi" w:hAnsiTheme="majorHAnsi"/>
        </w:rPr>
        <w:t>rozumieniu ustawy</w:t>
      </w:r>
      <w:r w:rsidR="00762921" w:rsidRPr="006051E1">
        <w:rPr>
          <w:rFonts w:asciiTheme="majorHAnsi" w:hAnsiTheme="majorHAnsi"/>
        </w:rPr>
        <w:t xml:space="preserve"> z </w:t>
      </w:r>
      <w:r w:rsidRPr="006051E1">
        <w:rPr>
          <w:rFonts w:asciiTheme="majorHAnsi" w:hAnsiTheme="majorHAnsi"/>
        </w:rPr>
        <w:t>dnia 29 lipca 2005 r.</w:t>
      </w:r>
      <w:r w:rsidR="00762921" w:rsidRPr="006051E1">
        <w:rPr>
          <w:rFonts w:asciiTheme="majorHAnsi" w:hAnsiTheme="majorHAnsi"/>
        </w:rPr>
        <w:t xml:space="preserve"> o </w:t>
      </w:r>
      <w:r w:rsidRPr="006051E1">
        <w:rPr>
          <w:rFonts w:asciiTheme="majorHAnsi" w:hAnsiTheme="majorHAnsi"/>
        </w:rPr>
        <w:t>ofercie publicznej</w:t>
      </w:r>
      <w:r w:rsidR="00762921" w:rsidRPr="006051E1">
        <w:rPr>
          <w:rFonts w:asciiTheme="majorHAnsi" w:hAnsiTheme="majorHAnsi"/>
        </w:rPr>
        <w:t xml:space="preserve"> i </w:t>
      </w:r>
      <w:r w:rsidRPr="006051E1">
        <w:rPr>
          <w:rFonts w:asciiTheme="majorHAnsi" w:hAnsiTheme="majorHAnsi"/>
        </w:rPr>
        <w:t>warunkach wprowadzania instrumentów finansowych do zorganizowanego systemu obrotu oraz</w:t>
      </w:r>
      <w:r w:rsidR="00762921" w:rsidRPr="006051E1">
        <w:rPr>
          <w:rFonts w:asciiTheme="majorHAnsi" w:hAnsiTheme="majorHAnsi"/>
        </w:rPr>
        <w:t xml:space="preserve"> o </w:t>
      </w:r>
      <w:r w:rsidRPr="006051E1">
        <w:rPr>
          <w:rFonts w:asciiTheme="majorHAnsi" w:hAnsiTheme="majorHAnsi"/>
        </w:rPr>
        <w:t>spółkach publicznych (Dz. U. Nr 184, poz. 1539), osoba będąca członkiem organów statutowych dłużnika</w:t>
      </w:r>
      <w:r w:rsidR="000C73E3" w:rsidRPr="006051E1">
        <w:rPr>
          <w:rFonts w:asciiTheme="majorHAnsi" w:hAnsiTheme="majorHAnsi"/>
        </w:rPr>
        <w:t>.</w:t>
      </w:r>
    </w:p>
    <w:p w:rsidR="00061840" w:rsidRPr="006051E1" w:rsidRDefault="00061840" w:rsidP="00706725">
      <w:pPr>
        <w:ind w:left="284" w:hanging="284"/>
        <w:jc w:val="both"/>
        <w:rPr>
          <w:rFonts w:asciiTheme="majorHAnsi" w:hAnsiTheme="majorHAnsi"/>
        </w:rPr>
      </w:pPr>
      <w:r w:rsidRPr="006051E1">
        <w:rPr>
          <w:rFonts w:asciiTheme="majorHAnsi" w:hAnsiTheme="majorHAnsi"/>
        </w:rPr>
        <w:t>4.</w:t>
      </w:r>
      <w:r w:rsidRPr="006051E1">
        <w:rPr>
          <w:rFonts w:asciiTheme="majorHAnsi" w:hAnsiTheme="majorHAnsi"/>
        </w:rPr>
        <w:tab/>
        <w:t>Pełnomocnik dłużnika</w:t>
      </w:r>
      <w:r w:rsidR="000C73E3" w:rsidRPr="006051E1">
        <w:rPr>
          <w:rFonts w:asciiTheme="majorHAnsi" w:hAnsiTheme="majorHAnsi"/>
        </w:rPr>
        <w:t>.</w:t>
      </w:r>
    </w:p>
    <w:p w:rsidR="00061840" w:rsidRPr="006051E1" w:rsidRDefault="00061840" w:rsidP="00706725">
      <w:pPr>
        <w:ind w:left="284" w:hanging="284"/>
        <w:jc w:val="both"/>
        <w:rPr>
          <w:rFonts w:asciiTheme="majorHAnsi" w:hAnsiTheme="majorHAnsi"/>
        </w:rPr>
      </w:pPr>
      <w:r w:rsidRPr="006051E1">
        <w:rPr>
          <w:rFonts w:asciiTheme="majorHAnsi" w:hAnsiTheme="majorHAnsi"/>
        </w:rPr>
        <w:t>5.</w:t>
      </w:r>
      <w:r w:rsidRPr="006051E1">
        <w:rPr>
          <w:rFonts w:asciiTheme="majorHAnsi" w:hAnsiTheme="majorHAnsi"/>
        </w:rPr>
        <w:tab/>
        <w:t>Osoba, która udzieliła jakiegokolwiek zabezpieczenia</w:t>
      </w:r>
      <w:r w:rsidR="005753E3">
        <w:rPr>
          <w:rFonts w:asciiTheme="majorHAnsi" w:hAnsiTheme="majorHAnsi"/>
        </w:rPr>
        <w:t xml:space="preserve"> kredytowego dla wierzytelności</w:t>
      </w:r>
      <w:r w:rsidR="0049160C" w:rsidRPr="006051E1">
        <w:rPr>
          <w:rFonts w:asciiTheme="majorHAnsi" w:hAnsiTheme="majorHAnsi"/>
        </w:rPr>
        <w:t xml:space="preserve"> </w:t>
      </w:r>
      <w:r w:rsidRPr="006051E1">
        <w:rPr>
          <w:rFonts w:asciiTheme="majorHAnsi" w:hAnsiTheme="majorHAnsi"/>
        </w:rPr>
        <w:t>objętej procesem sprzedaży</w:t>
      </w:r>
      <w:r w:rsidR="000C73E3" w:rsidRPr="006051E1">
        <w:rPr>
          <w:rFonts w:asciiTheme="majorHAnsi" w:hAnsiTheme="majorHAnsi"/>
        </w:rPr>
        <w:t>.</w:t>
      </w:r>
    </w:p>
    <w:p w:rsidR="00061840" w:rsidRPr="006051E1" w:rsidRDefault="00061840" w:rsidP="00706725">
      <w:pPr>
        <w:ind w:left="284" w:hanging="284"/>
        <w:jc w:val="both"/>
        <w:rPr>
          <w:rFonts w:asciiTheme="majorHAnsi" w:hAnsiTheme="majorHAnsi"/>
        </w:rPr>
      </w:pPr>
      <w:r w:rsidRPr="006051E1">
        <w:rPr>
          <w:rFonts w:asciiTheme="majorHAnsi" w:hAnsiTheme="majorHAnsi"/>
        </w:rPr>
        <w:t>6.</w:t>
      </w:r>
      <w:r w:rsidRPr="006051E1">
        <w:rPr>
          <w:rFonts w:asciiTheme="majorHAnsi" w:hAnsiTheme="majorHAnsi"/>
        </w:rPr>
        <w:tab/>
        <w:t>Członek Komisji ds. pakietowej sprzedaży wierzytelności, jego współmałżonek, krewny</w:t>
      </w:r>
      <w:r w:rsidR="00762921" w:rsidRPr="006051E1">
        <w:rPr>
          <w:rFonts w:asciiTheme="majorHAnsi" w:hAnsiTheme="majorHAnsi"/>
        </w:rPr>
        <w:t xml:space="preserve"> i </w:t>
      </w:r>
      <w:r w:rsidRPr="006051E1">
        <w:rPr>
          <w:rFonts w:asciiTheme="majorHAnsi" w:hAnsiTheme="majorHAnsi"/>
        </w:rPr>
        <w:t>powinowaty</w:t>
      </w:r>
      <w:r w:rsidR="000C73E3" w:rsidRPr="006051E1">
        <w:rPr>
          <w:rFonts w:asciiTheme="majorHAnsi" w:hAnsiTheme="majorHAnsi"/>
        </w:rPr>
        <w:t>.</w:t>
      </w:r>
    </w:p>
    <w:p w:rsidR="00061840" w:rsidRPr="006051E1" w:rsidRDefault="00061840" w:rsidP="00706725">
      <w:pPr>
        <w:ind w:left="284" w:hanging="284"/>
        <w:jc w:val="both"/>
        <w:rPr>
          <w:rFonts w:asciiTheme="majorHAnsi" w:hAnsiTheme="majorHAnsi"/>
        </w:rPr>
      </w:pPr>
      <w:r w:rsidRPr="006051E1">
        <w:rPr>
          <w:rFonts w:asciiTheme="majorHAnsi" w:hAnsiTheme="majorHAnsi"/>
        </w:rPr>
        <w:t>7.</w:t>
      </w:r>
      <w:r w:rsidRPr="006051E1">
        <w:rPr>
          <w:rFonts w:asciiTheme="majorHAnsi" w:hAnsiTheme="majorHAnsi"/>
        </w:rPr>
        <w:tab/>
        <w:t>Pracownik</w:t>
      </w:r>
      <w:r w:rsidR="0049160C" w:rsidRPr="006051E1">
        <w:rPr>
          <w:rFonts w:asciiTheme="majorHAnsi" w:hAnsiTheme="majorHAnsi"/>
        </w:rPr>
        <w:t xml:space="preserve"> Zachodniopomorskiej </w:t>
      </w:r>
      <w:r w:rsidRPr="006051E1">
        <w:rPr>
          <w:rFonts w:asciiTheme="majorHAnsi" w:hAnsiTheme="majorHAnsi"/>
        </w:rPr>
        <w:t>SKOK, jego wsp</w:t>
      </w:r>
      <w:r w:rsidR="000C73E3" w:rsidRPr="006051E1">
        <w:rPr>
          <w:rFonts w:asciiTheme="majorHAnsi" w:hAnsiTheme="majorHAnsi"/>
        </w:rPr>
        <w:t>ółmałżonek, krewny</w:t>
      </w:r>
      <w:r w:rsidR="00762921" w:rsidRPr="006051E1">
        <w:rPr>
          <w:rFonts w:asciiTheme="majorHAnsi" w:hAnsiTheme="majorHAnsi"/>
        </w:rPr>
        <w:t xml:space="preserve"> i </w:t>
      </w:r>
      <w:r w:rsidR="000C73E3" w:rsidRPr="006051E1">
        <w:rPr>
          <w:rFonts w:asciiTheme="majorHAnsi" w:hAnsiTheme="majorHAnsi"/>
        </w:rPr>
        <w:t>powinowaty.</w:t>
      </w:r>
    </w:p>
    <w:p w:rsidR="006F2B90" w:rsidRPr="006051E1" w:rsidRDefault="00061840" w:rsidP="00706725">
      <w:pPr>
        <w:ind w:left="284" w:hanging="284"/>
        <w:jc w:val="both"/>
        <w:rPr>
          <w:rFonts w:asciiTheme="majorHAnsi" w:hAnsiTheme="majorHAnsi"/>
        </w:rPr>
      </w:pPr>
      <w:r w:rsidRPr="006051E1">
        <w:rPr>
          <w:rFonts w:asciiTheme="majorHAnsi" w:hAnsiTheme="majorHAnsi"/>
        </w:rPr>
        <w:t>8.</w:t>
      </w:r>
      <w:r w:rsidRPr="006051E1">
        <w:rPr>
          <w:rFonts w:asciiTheme="majorHAnsi" w:hAnsiTheme="majorHAnsi"/>
        </w:rPr>
        <w:tab/>
        <w:t>Członek organu podejmującego decyzję</w:t>
      </w:r>
      <w:r w:rsidR="00762921" w:rsidRPr="006051E1">
        <w:rPr>
          <w:rFonts w:asciiTheme="majorHAnsi" w:hAnsiTheme="majorHAnsi"/>
        </w:rPr>
        <w:t xml:space="preserve"> w </w:t>
      </w:r>
      <w:r w:rsidR="0049160C" w:rsidRPr="006051E1">
        <w:rPr>
          <w:rFonts w:asciiTheme="majorHAnsi" w:hAnsiTheme="majorHAnsi"/>
        </w:rPr>
        <w:t xml:space="preserve">Zachodniopomorskiej </w:t>
      </w:r>
      <w:r w:rsidRPr="006051E1">
        <w:rPr>
          <w:rFonts w:asciiTheme="majorHAnsi" w:hAnsiTheme="majorHAnsi"/>
        </w:rPr>
        <w:t>SKOK zgodnie</w:t>
      </w:r>
      <w:r w:rsidR="00762921" w:rsidRPr="006051E1">
        <w:rPr>
          <w:rFonts w:asciiTheme="majorHAnsi" w:hAnsiTheme="majorHAnsi"/>
        </w:rPr>
        <w:t xml:space="preserve"> z </w:t>
      </w:r>
      <w:r w:rsidRPr="006051E1">
        <w:rPr>
          <w:rFonts w:asciiTheme="majorHAnsi" w:hAnsiTheme="majorHAnsi"/>
        </w:rPr>
        <w:t>wewnętrznymi przepisami dotyczącymi uprawnień</w:t>
      </w:r>
      <w:r w:rsidR="00762921" w:rsidRPr="006051E1">
        <w:rPr>
          <w:rFonts w:asciiTheme="majorHAnsi" w:hAnsiTheme="majorHAnsi"/>
        </w:rPr>
        <w:t xml:space="preserve"> i </w:t>
      </w:r>
      <w:r w:rsidRPr="006051E1">
        <w:rPr>
          <w:rFonts w:asciiTheme="majorHAnsi" w:hAnsiTheme="majorHAnsi"/>
        </w:rPr>
        <w:t>trybu podejmowania decyzji finansowych, jego współmałżonkiem, krewnym</w:t>
      </w:r>
      <w:r w:rsidR="00762921" w:rsidRPr="006051E1">
        <w:rPr>
          <w:rFonts w:asciiTheme="majorHAnsi" w:hAnsiTheme="majorHAnsi"/>
        </w:rPr>
        <w:t xml:space="preserve"> i </w:t>
      </w:r>
      <w:r w:rsidRPr="006051E1">
        <w:rPr>
          <w:rFonts w:asciiTheme="majorHAnsi" w:hAnsiTheme="majorHAnsi"/>
        </w:rPr>
        <w:t>powinowatym.</w:t>
      </w:r>
    </w:p>
    <w:p w:rsidR="00CA6F24" w:rsidRPr="006051E1" w:rsidRDefault="00C403D2" w:rsidP="00706725">
      <w:pPr>
        <w:pStyle w:val="Nagwek2"/>
        <w:jc w:val="both"/>
        <w:rPr>
          <w:color w:val="auto"/>
        </w:rPr>
      </w:pPr>
      <w:r w:rsidRPr="006051E1">
        <w:rPr>
          <w:color w:val="auto"/>
        </w:rPr>
        <w:t>IX. TERMIN</w:t>
      </w:r>
      <w:r w:rsidR="00CA6F24" w:rsidRPr="006051E1">
        <w:rPr>
          <w:color w:val="auto"/>
        </w:rPr>
        <w:t xml:space="preserve"> I </w:t>
      </w:r>
      <w:r w:rsidRPr="006051E1">
        <w:rPr>
          <w:color w:val="auto"/>
        </w:rPr>
        <w:t>MIEJSCE SKŁADANIA ORAZ OTWARCIA ZGŁOSZEŃ</w:t>
      </w:r>
    </w:p>
    <w:p w:rsidR="00D63A90" w:rsidRPr="006051E1" w:rsidRDefault="00D32C84"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t xml:space="preserve">Zgłoszenia można składać: </w:t>
      </w:r>
    </w:p>
    <w:p w:rsidR="00D63A90" w:rsidRPr="006051E1" w:rsidRDefault="00D32C84" w:rsidP="00706725">
      <w:pPr>
        <w:ind w:left="284" w:hanging="284"/>
        <w:jc w:val="both"/>
        <w:rPr>
          <w:rFonts w:asciiTheme="majorHAnsi" w:hAnsiTheme="majorHAnsi"/>
        </w:rPr>
      </w:pPr>
      <w:r w:rsidRPr="006051E1">
        <w:rPr>
          <w:rFonts w:asciiTheme="majorHAnsi" w:hAnsiTheme="majorHAnsi"/>
        </w:rPr>
        <w:t>1) osobiście</w:t>
      </w:r>
      <w:r w:rsidR="00762921" w:rsidRPr="006051E1">
        <w:rPr>
          <w:rFonts w:asciiTheme="majorHAnsi" w:hAnsiTheme="majorHAnsi"/>
        </w:rPr>
        <w:t xml:space="preserve"> w </w:t>
      </w:r>
      <w:r w:rsidR="00D63A90" w:rsidRPr="006051E1">
        <w:rPr>
          <w:rFonts w:asciiTheme="majorHAnsi" w:hAnsiTheme="majorHAnsi"/>
        </w:rPr>
        <w:t xml:space="preserve">Zachodniopomorskiej </w:t>
      </w:r>
      <w:r w:rsidRPr="006051E1">
        <w:rPr>
          <w:rFonts w:asciiTheme="majorHAnsi" w:hAnsiTheme="majorHAnsi"/>
        </w:rPr>
        <w:t xml:space="preserve">SKOK </w:t>
      </w:r>
      <w:r w:rsidR="00D63A90" w:rsidRPr="006051E1">
        <w:rPr>
          <w:rFonts w:asciiTheme="majorHAnsi" w:hAnsiTheme="majorHAnsi"/>
        </w:rPr>
        <w:t>ul. Czorsztyńska 17, 71-201 Szczecin;</w:t>
      </w:r>
      <w:r w:rsidRPr="006051E1">
        <w:rPr>
          <w:rFonts w:asciiTheme="majorHAnsi" w:hAnsiTheme="majorHAnsi"/>
        </w:rPr>
        <w:t xml:space="preserve"> </w:t>
      </w:r>
    </w:p>
    <w:p w:rsidR="00D32C84" w:rsidRPr="006051E1" w:rsidRDefault="00D63A90" w:rsidP="00706725">
      <w:pPr>
        <w:ind w:left="284" w:hanging="284"/>
        <w:jc w:val="both"/>
        <w:rPr>
          <w:rFonts w:asciiTheme="majorHAnsi" w:hAnsiTheme="majorHAnsi"/>
        </w:rPr>
      </w:pPr>
      <w:r w:rsidRPr="006051E1">
        <w:rPr>
          <w:rFonts w:asciiTheme="majorHAnsi" w:hAnsiTheme="majorHAnsi"/>
        </w:rPr>
        <w:t>2) za pośrednictwem kuriera pod</w:t>
      </w:r>
      <w:r w:rsidR="00D32C84" w:rsidRPr="006051E1">
        <w:rPr>
          <w:rFonts w:asciiTheme="majorHAnsi" w:hAnsiTheme="majorHAnsi"/>
        </w:rPr>
        <w:t xml:space="preserve"> adres:</w:t>
      </w:r>
      <w:r w:rsidR="004032EC">
        <w:rPr>
          <w:rFonts w:asciiTheme="majorHAnsi" w:hAnsiTheme="majorHAnsi"/>
        </w:rPr>
        <w:t xml:space="preserve"> ul. Czorsztyńska 17, 7</w:t>
      </w:r>
      <w:r w:rsidRPr="006051E1">
        <w:rPr>
          <w:rFonts w:asciiTheme="majorHAnsi" w:hAnsiTheme="majorHAnsi"/>
        </w:rPr>
        <w:t>1-201 Szczecin.</w:t>
      </w:r>
    </w:p>
    <w:p w:rsidR="00D32C84" w:rsidRPr="006051E1" w:rsidRDefault="00D32C84"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t>Termin składania zgłoszeń</w:t>
      </w:r>
      <w:r w:rsidR="00762921" w:rsidRPr="006051E1">
        <w:rPr>
          <w:rFonts w:asciiTheme="majorHAnsi" w:hAnsiTheme="majorHAnsi"/>
        </w:rPr>
        <w:t xml:space="preserve"> w I </w:t>
      </w:r>
      <w:r w:rsidRPr="006051E1">
        <w:rPr>
          <w:rFonts w:asciiTheme="majorHAnsi" w:hAnsiTheme="majorHAnsi"/>
        </w:rPr>
        <w:t>etapie sprzedaży określony został</w:t>
      </w:r>
      <w:r w:rsidR="00762921" w:rsidRPr="006051E1">
        <w:rPr>
          <w:rFonts w:asciiTheme="majorHAnsi" w:hAnsiTheme="majorHAnsi"/>
        </w:rPr>
        <w:t xml:space="preserve"> w </w:t>
      </w:r>
      <w:r w:rsidR="00CB287D" w:rsidRPr="006051E1">
        <w:rPr>
          <w:rFonts w:asciiTheme="majorHAnsi" w:hAnsiTheme="majorHAnsi"/>
        </w:rPr>
        <w:t>punkcie VI ust. 4</w:t>
      </w:r>
      <w:r w:rsidRPr="006051E1">
        <w:rPr>
          <w:rFonts w:asciiTheme="majorHAnsi" w:hAnsiTheme="majorHAnsi"/>
        </w:rPr>
        <w:t xml:space="preserve"> niniejszych warunków.</w:t>
      </w:r>
    </w:p>
    <w:p w:rsidR="00D32C84" w:rsidRPr="006051E1" w:rsidRDefault="00D32C84" w:rsidP="00706725">
      <w:pPr>
        <w:ind w:left="284" w:hanging="284"/>
        <w:jc w:val="both"/>
        <w:rPr>
          <w:rFonts w:asciiTheme="majorHAnsi" w:hAnsiTheme="majorHAnsi"/>
        </w:rPr>
      </w:pPr>
      <w:r w:rsidRPr="006051E1">
        <w:rPr>
          <w:rFonts w:asciiTheme="majorHAnsi" w:hAnsiTheme="majorHAnsi"/>
        </w:rPr>
        <w:t>3</w:t>
      </w:r>
      <w:r w:rsidRPr="006051E1">
        <w:rPr>
          <w:rFonts w:asciiTheme="majorHAnsi" w:hAnsiTheme="majorHAnsi"/>
        </w:rPr>
        <w:tab/>
        <w:t>Po dokonaniu wyboru zgłoszeń, do zgłaszających spełniających kryteria określone</w:t>
      </w:r>
      <w:r w:rsidR="00762921" w:rsidRPr="006051E1">
        <w:rPr>
          <w:rFonts w:asciiTheme="majorHAnsi" w:hAnsiTheme="majorHAnsi"/>
        </w:rPr>
        <w:t xml:space="preserve"> w </w:t>
      </w:r>
      <w:r w:rsidRPr="006051E1">
        <w:rPr>
          <w:rFonts w:asciiTheme="majorHAnsi" w:hAnsiTheme="majorHAnsi"/>
        </w:rPr>
        <w:t>niniejszych warunkach sprzedaży –</w:t>
      </w:r>
      <w:r w:rsidR="00762921" w:rsidRPr="006051E1">
        <w:rPr>
          <w:rFonts w:asciiTheme="majorHAnsi" w:hAnsiTheme="majorHAnsi"/>
        </w:rPr>
        <w:t xml:space="preserve"> w </w:t>
      </w:r>
      <w:r w:rsidRPr="006051E1">
        <w:rPr>
          <w:rFonts w:asciiTheme="majorHAnsi" w:hAnsiTheme="majorHAnsi"/>
        </w:rPr>
        <w:t>szczególności opisane</w:t>
      </w:r>
      <w:r w:rsidR="00762921" w:rsidRPr="006051E1">
        <w:rPr>
          <w:rFonts w:asciiTheme="majorHAnsi" w:hAnsiTheme="majorHAnsi"/>
        </w:rPr>
        <w:t xml:space="preserve"> w </w:t>
      </w:r>
      <w:r w:rsidRPr="006051E1">
        <w:rPr>
          <w:rFonts w:asciiTheme="majorHAnsi" w:hAnsiTheme="majorHAnsi"/>
        </w:rPr>
        <w:t>pkt VI – SKOK prześle zgłaszającym informację</w:t>
      </w:r>
      <w:r w:rsidR="00762921" w:rsidRPr="006051E1">
        <w:rPr>
          <w:rFonts w:asciiTheme="majorHAnsi" w:hAnsiTheme="majorHAnsi"/>
        </w:rPr>
        <w:t xml:space="preserve"> o </w:t>
      </w:r>
      <w:r w:rsidRPr="006051E1">
        <w:rPr>
          <w:rFonts w:asciiTheme="majorHAnsi" w:hAnsiTheme="majorHAnsi"/>
        </w:rPr>
        <w:t>zakwalifikowaniu do II etapu sprzedaży wraz możliwością uzyskania informacji</w:t>
      </w:r>
      <w:r w:rsidR="00762921" w:rsidRPr="006051E1">
        <w:rPr>
          <w:rFonts w:asciiTheme="majorHAnsi" w:hAnsiTheme="majorHAnsi"/>
        </w:rPr>
        <w:t xml:space="preserve"> o </w:t>
      </w:r>
      <w:r w:rsidRPr="006051E1">
        <w:rPr>
          <w:rFonts w:asciiTheme="majorHAnsi" w:hAnsiTheme="majorHAnsi"/>
        </w:rPr>
        <w:t>zbywanych wierzytelnościach.</w:t>
      </w:r>
    </w:p>
    <w:p w:rsidR="00D32C84" w:rsidRPr="006051E1" w:rsidRDefault="00D32C84" w:rsidP="00706725">
      <w:pPr>
        <w:ind w:left="284" w:hanging="284"/>
        <w:jc w:val="both"/>
        <w:rPr>
          <w:rFonts w:asciiTheme="majorHAnsi" w:hAnsiTheme="majorHAnsi"/>
        </w:rPr>
      </w:pPr>
      <w:r w:rsidRPr="006051E1">
        <w:rPr>
          <w:rFonts w:asciiTheme="majorHAnsi" w:hAnsiTheme="majorHAnsi"/>
        </w:rPr>
        <w:t>4</w:t>
      </w:r>
      <w:r w:rsidRPr="006051E1">
        <w:rPr>
          <w:rFonts w:asciiTheme="majorHAnsi" w:hAnsiTheme="majorHAnsi"/>
        </w:rPr>
        <w:tab/>
        <w:t>Termin składania propozycji cenowych został określony</w:t>
      </w:r>
      <w:r w:rsidR="00762921" w:rsidRPr="006051E1">
        <w:rPr>
          <w:rFonts w:asciiTheme="majorHAnsi" w:hAnsiTheme="majorHAnsi"/>
        </w:rPr>
        <w:t xml:space="preserve"> w </w:t>
      </w:r>
      <w:r w:rsidRPr="006051E1">
        <w:rPr>
          <w:rFonts w:asciiTheme="majorHAnsi" w:hAnsiTheme="majorHAnsi"/>
        </w:rPr>
        <w:t>punkci</w:t>
      </w:r>
      <w:r w:rsidR="00CB287D" w:rsidRPr="006051E1">
        <w:rPr>
          <w:rFonts w:asciiTheme="majorHAnsi" w:hAnsiTheme="majorHAnsi"/>
        </w:rPr>
        <w:t>e VII ust. 4</w:t>
      </w:r>
      <w:r w:rsidRPr="006051E1">
        <w:rPr>
          <w:rFonts w:asciiTheme="majorHAnsi" w:hAnsiTheme="majorHAnsi"/>
        </w:rPr>
        <w:t xml:space="preserve"> niniejszych warunków.</w:t>
      </w:r>
    </w:p>
    <w:p w:rsidR="00D32C84" w:rsidRPr="00D22B4A" w:rsidRDefault="00D32C84" w:rsidP="00706725">
      <w:pPr>
        <w:ind w:left="284" w:hanging="284"/>
        <w:jc w:val="both"/>
        <w:rPr>
          <w:rFonts w:asciiTheme="majorHAnsi" w:hAnsiTheme="majorHAnsi"/>
          <w:highlight w:val="yellow"/>
        </w:rPr>
      </w:pPr>
      <w:r w:rsidRPr="00F248BD">
        <w:rPr>
          <w:rFonts w:asciiTheme="majorHAnsi" w:hAnsiTheme="majorHAnsi"/>
        </w:rPr>
        <w:t>5</w:t>
      </w:r>
      <w:r w:rsidRPr="00F248BD">
        <w:rPr>
          <w:rFonts w:asciiTheme="majorHAnsi" w:hAnsiTheme="majorHAnsi"/>
        </w:rPr>
        <w:tab/>
        <w:t>Otwarcie propozycji cenowych nastąpi</w:t>
      </w:r>
      <w:r w:rsidR="00762921" w:rsidRPr="00F248BD">
        <w:rPr>
          <w:rFonts w:asciiTheme="majorHAnsi" w:hAnsiTheme="majorHAnsi"/>
        </w:rPr>
        <w:t xml:space="preserve"> w </w:t>
      </w:r>
      <w:r w:rsidR="00CB287D" w:rsidRPr="00F248BD">
        <w:rPr>
          <w:rFonts w:asciiTheme="majorHAnsi" w:hAnsiTheme="majorHAnsi"/>
        </w:rPr>
        <w:t xml:space="preserve">dniu </w:t>
      </w:r>
      <w:r w:rsidR="00C362C0">
        <w:rPr>
          <w:rFonts w:asciiTheme="majorHAnsi" w:hAnsiTheme="majorHAnsi"/>
        </w:rPr>
        <w:t>21.04.</w:t>
      </w:r>
      <w:r w:rsidR="00C362C0" w:rsidRPr="00C362C0">
        <w:rPr>
          <w:rFonts w:asciiTheme="majorHAnsi" w:hAnsiTheme="majorHAnsi"/>
        </w:rPr>
        <w:t>2023</w:t>
      </w:r>
      <w:r w:rsidR="00475D9F" w:rsidRPr="00C362C0">
        <w:rPr>
          <w:rFonts w:asciiTheme="majorHAnsi" w:hAnsiTheme="majorHAnsi"/>
        </w:rPr>
        <w:t xml:space="preserve"> </w:t>
      </w:r>
      <w:r w:rsidRPr="00C362C0">
        <w:rPr>
          <w:rFonts w:asciiTheme="majorHAnsi" w:hAnsiTheme="majorHAnsi"/>
        </w:rPr>
        <w:t>r. po godz. 8:00.</w:t>
      </w:r>
    </w:p>
    <w:p w:rsidR="006F2B90" w:rsidRPr="006051E1" w:rsidRDefault="00CB287D" w:rsidP="00706725">
      <w:pPr>
        <w:ind w:left="284" w:hanging="284"/>
        <w:jc w:val="both"/>
        <w:rPr>
          <w:rFonts w:asciiTheme="majorHAnsi" w:hAnsiTheme="majorHAnsi"/>
        </w:rPr>
      </w:pPr>
      <w:r w:rsidRPr="00C362C0">
        <w:rPr>
          <w:rFonts w:asciiTheme="majorHAnsi" w:hAnsiTheme="majorHAnsi"/>
        </w:rPr>
        <w:t>6</w:t>
      </w:r>
      <w:r w:rsidRPr="00C362C0">
        <w:rPr>
          <w:rFonts w:asciiTheme="majorHAnsi" w:hAnsiTheme="majorHAnsi"/>
        </w:rPr>
        <w:tab/>
        <w:t xml:space="preserve">Dnia </w:t>
      </w:r>
      <w:r w:rsidR="00C362C0" w:rsidRPr="00C362C0">
        <w:rPr>
          <w:rFonts w:asciiTheme="majorHAnsi" w:hAnsiTheme="majorHAnsi"/>
        </w:rPr>
        <w:t>21.04.2023</w:t>
      </w:r>
      <w:r w:rsidR="00D32C84" w:rsidRPr="00C362C0">
        <w:rPr>
          <w:rFonts w:asciiTheme="majorHAnsi" w:hAnsiTheme="majorHAnsi"/>
        </w:rPr>
        <w:t xml:space="preserve"> r. do godz. 13:00 za pośrednictwem email SKOK prześle informacje do oferenta,</w:t>
      </w:r>
      <w:r w:rsidR="00D32C84" w:rsidRPr="00F248BD">
        <w:rPr>
          <w:rFonts w:asciiTheme="majorHAnsi" w:hAnsiTheme="majorHAnsi"/>
        </w:rPr>
        <w:t xml:space="preserve"> którego oferta została uznana za najkorzystniejszą</w:t>
      </w:r>
      <w:r w:rsidR="00D32C84" w:rsidRPr="006051E1">
        <w:rPr>
          <w:rFonts w:asciiTheme="majorHAnsi" w:hAnsiTheme="majorHAnsi"/>
        </w:rPr>
        <w:t>.</w:t>
      </w:r>
    </w:p>
    <w:p w:rsidR="00CA6F24" w:rsidRPr="006051E1" w:rsidRDefault="00C403D2" w:rsidP="00706725">
      <w:pPr>
        <w:pStyle w:val="Nagwek2"/>
        <w:jc w:val="both"/>
        <w:rPr>
          <w:color w:val="auto"/>
        </w:rPr>
      </w:pPr>
      <w:r w:rsidRPr="006051E1">
        <w:rPr>
          <w:color w:val="auto"/>
        </w:rPr>
        <w:t>X. WYBÓR OFERTY</w:t>
      </w:r>
    </w:p>
    <w:p w:rsidR="000C73E3" w:rsidRPr="006051E1" w:rsidRDefault="000C73E3"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t>SKOK uprawniony będzie do sprzedaży wierzytelności oferentowi, którego propozycja zostanie uznana za najkorzystniejszą</w:t>
      </w:r>
      <w:r w:rsidR="00762921" w:rsidRPr="006051E1">
        <w:rPr>
          <w:rFonts w:asciiTheme="majorHAnsi" w:hAnsiTheme="majorHAnsi"/>
        </w:rPr>
        <w:t xml:space="preserve"> z </w:t>
      </w:r>
      <w:r w:rsidRPr="006051E1">
        <w:rPr>
          <w:rFonts w:asciiTheme="majorHAnsi" w:hAnsiTheme="majorHAnsi"/>
        </w:rPr>
        <w:t>uwagi na: 1) cenę nabycia wierzytelności, 2) sposób</w:t>
      </w:r>
      <w:r w:rsidR="00762921" w:rsidRPr="006051E1">
        <w:rPr>
          <w:rFonts w:asciiTheme="majorHAnsi" w:hAnsiTheme="majorHAnsi"/>
        </w:rPr>
        <w:t xml:space="preserve"> i </w:t>
      </w:r>
      <w:r w:rsidRPr="006051E1">
        <w:rPr>
          <w:rFonts w:asciiTheme="majorHAnsi" w:hAnsiTheme="majorHAnsi"/>
        </w:rPr>
        <w:t>koszty związane</w:t>
      </w:r>
      <w:r w:rsidR="00762921" w:rsidRPr="006051E1">
        <w:rPr>
          <w:rFonts w:asciiTheme="majorHAnsi" w:hAnsiTheme="majorHAnsi"/>
        </w:rPr>
        <w:t xml:space="preserve"> z </w:t>
      </w:r>
      <w:r w:rsidRPr="006051E1">
        <w:rPr>
          <w:rFonts w:asciiTheme="majorHAnsi" w:hAnsiTheme="majorHAnsi"/>
        </w:rPr>
        <w:t>przekazaniem dokumentacji poszczególnych wierzytelności</w:t>
      </w:r>
      <w:r w:rsidR="00762921" w:rsidRPr="006051E1">
        <w:rPr>
          <w:rFonts w:asciiTheme="majorHAnsi" w:hAnsiTheme="majorHAnsi"/>
        </w:rPr>
        <w:t xml:space="preserve"> w </w:t>
      </w:r>
      <w:r w:rsidRPr="006051E1">
        <w:rPr>
          <w:rFonts w:asciiTheme="majorHAnsi" w:hAnsiTheme="majorHAnsi"/>
        </w:rPr>
        <w:t>oryginale.</w:t>
      </w:r>
    </w:p>
    <w:p w:rsidR="006F2B90" w:rsidRPr="006051E1" w:rsidRDefault="000C73E3"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t>W przypadku nie zawarcia umowy sprzedaży</w:t>
      </w:r>
      <w:r w:rsidR="00762921" w:rsidRPr="006051E1">
        <w:rPr>
          <w:rFonts w:asciiTheme="majorHAnsi" w:hAnsiTheme="majorHAnsi"/>
        </w:rPr>
        <w:t xml:space="preserve"> z </w:t>
      </w:r>
      <w:r w:rsidRPr="006051E1">
        <w:rPr>
          <w:rFonts w:asciiTheme="majorHAnsi" w:hAnsiTheme="majorHAnsi"/>
        </w:rPr>
        <w:t>wybranym nabywcą, SKOK upoważniona będzie do prowadzenia rozmów</w:t>
      </w:r>
      <w:r w:rsidR="00762921" w:rsidRPr="006051E1">
        <w:rPr>
          <w:rFonts w:asciiTheme="majorHAnsi" w:hAnsiTheme="majorHAnsi"/>
        </w:rPr>
        <w:t xml:space="preserve"> z </w:t>
      </w:r>
      <w:r w:rsidRPr="006051E1">
        <w:rPr>
          <w:rFonts w:asciiTheme="majorHAnsi" w:hAnsiTheme="majorHAnsi"/>
        </w:rPr>
        <w:t>partnerem wybranym</w:t>
      </w:r>
      <w:r w:rsidR="00762921" w:rsidRPr="006051E1">
        <w:rPr>
          <w:rFonts w:asciiTheme="majorHAnsi" w:hAnsiTheme="majorHAnsi"/>
        </w:rPr>
        <w:t xml:space="preserve"> w </w:t>
      </w:r>
      <w:r w:rsidRPr="006051E1">
        <w:rPr>
          <w:rFonts w:asciiTheme="majorHAnsi" w:hAnsiTheme="majorHAnsi"/>
        </w:rPr>
        <w:t>trybie niniejszych warunków sprzedaży, którego propozycja została oceniona jako kolejna</w:t>
      </w:r>
      <w:r w:rsidR="00762921" w:rsidRPr="006051E1">
        <w:rPr>
          <w:rFonts w:asciiTheme="majorHAnsi" w:hAnsiTheme="majorHAnsi"/>
        </w:rPr>
        <w:t xml:space="preserve"> z </w:t>
      </w:r>
      <w:r w:rsidRPr="006051E1">
        <w:rPr>
          <w:rFonts w:asciiTheme="majorHAnsi" w:hAnsiTheme="majorHAnsi"/>
        </w:rPr>
        <w:t>najkorzystniejszych ofert.</w:t>
      </w:r>
    </w:p>
    <w:p w:rsidR="00CA6F24" w:rsidRPr="006051E1" w:rsidRDefault="00C403D2" w:rsidP="00706725">
      <w:pPr>
        <w:pStyle w:val="Nagwek2"/>
        <w:jc w:val="both"/>
        <w:rPr>
          <w:color w:val="auto"/>
        </w:rPr>
      </w:pPr>
      <w:r w:rsidRPr="006051E1">
        <w:rPr>
          <w:color w:val="auto"/>
        </w:rPr>
        <w:t>XI. KRYTERIA ODRZUCANIA ZGŁOSZEŃ</w:t>
      </w:r>
    </w:p>
    <w:p w:rsidR="00CA6F24" w:rsidRPr="006051E1" w:rsidRDefault="00C403D2" w:rsidP="00706725">
      <w:pPr>
        <w:jc w:val="both"/>
        <w:rPr>
          <w:rFonts w:asciiTheme="majorHAnsi" w:hAnsiTheme="majorHAnsi"/>
        </w:rPr>
      </w:pPr>
      <w:r w:rsidRPr="006051E1">
        <w:rPr>
          <w:rFonts w:asciiTheme="majorHAnsi" w:hAnsiTheme="majorHAnsi"/>
        </w:rPr>
        <w:t>Odrzuceniu podlegają</w:t>
      </w:r>
      <w:r w:rsidR="000C73E3" w:rsidRPr="006051E1">
        <w:rPr>
          <w:rFonts w:asciiTheme="majorHAnsi" w:hAnsiTheme="majorHAnsi"/>
        </w:rPr>
        <w:t xml:space="preserve"> </w:t>
      </w:r>
      <w:r w:rsidRPr="006051E1">
        <w:rPr>
          <w:rFonts w:asciiTheme="majorHAnsi" w:hAnsiTheme="majorHAnsi"/>
        </w:rPr>
        <w:t>zgłoszenia:</w:t>
      </w:r>
    </w:p>
    <w:p w:rsidR="00CA6F24" w:rsidRPr="006051E1" w:rsidRDefault="000C73E3"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r>
      <w:r w:rsidR="00C403D2" w:rsidRPr="006051E1">
        <w:rPr>
          <w:rFonts w:asciiTheme="majorHAnsi" w:hAnsiTheme="majorHAnsi"/>
        </w:rPr>
        <w:t>Niespełniające wymagań,</w:t>
      </w:r>
      <w:r w:rsidR="00CA6F24" w:rsidRPr="006051E1">
        <w:rPr>
          <w:rFonts w:asciiTheme="majorHAnsi" w:hAnsiTheme="majorHAnsi"/>
        </w:rPr>
        <w:t xml:space="preserve"> o </w:t>
      </w:r>
      <w:r w:rsidR="00C403D2" w:rsidRPr="006051E1">
        <w:rPr>
          <w:rFonts w:asciiTheme="majorHAnsi" w:hAnsiTheme="majorHAnsi"/>
        </w:rPr>
        <w:t>których mowa</w:t>
      </w:r>
      <w:r w:rsidR="00CA6F24" w:rsidRPr="006051E1">
        <w:rPr>
          <w:rFonts w:asciiTheme="majorHAnsi" w:hAnsiTheme="majorHAnsi"/>
        </w:rPr>
        <w:t xml:space="preserve"> w </w:t>
      </w:r>
      <w:r w:rsidR="00C403D2" w:rsidRPr="006051E1">
        <w:rPr>
          <w:rFonts w:asciiTheme="majorHAnsi" w:hAnsiTheme="majorHAnsi"/>
        </w:rPr>
        <w:t>pkt VI;</w:t>
      </w:r>
    </w:p>
    <w:p w:rsidR="00CA6F24" w:rsidRPr="006051E1" w:rsidRDefault="000C73E3"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r>
      <w:r w:rsidR="00C403D2" w:rsidRPr="006051E1">
        <w:rPr>
          <w:rFonts w:asciiTheme="majorHAnsi" w:hAnsiTheme="majorHAnsi"/>
        </w:rPr>
        <w:t>Niezawierające dokumentów</w:t>
      </w:r>
      <w:r w:rsidR="00CA6F24" w:rsidRPr="006051E1">
        <w:rPr>
          <w:rFonts w:asciiTheme="majorHAnsi" w:hAnsiTheme="majorHAnsi"/>
        </w:rPr>
        <w:t xml:space="preserve"> i </w:t>
      </w:r>
      <w:r w:rsidR="00C403D2" w:rsidRPr="006051E1">
        <w:rPr>
          <w:rFonts w:asciiTheme="majorHAnsi" w:hAnsiTheme="majorHAnsi"/>
        </w:rPr>
        <w:t>oświadczeń,</w:t>
      </w:r>
      <w:r w:rsidR="00CA6F24" w:rsidRPr="006051E1">
        <w:rPr>
          <w:rFonts w:asciiTheme="majorHAnsi" w:hAnsiTheme="majorHAnsi"/>
        </w:rPr>
        <w:t xml:space="preserve"> o </w:t>
      </w:r>
      <w:r w:rsidR="00C403D2" w:rsidRPr="006051E1">
        <w:rPr>
          <w:rFonts w:asciiTheme="majorHAnsi" w:hAnsiTheme="majorHAnsi"/>
        </w:rPr>
        <w:t>których mowa</w:t>
      </w:r>
      <w:r w:rsidR="00CA6F24" w:rsidRPr="006051E1">
        <w:rPr>
          <w:rFonts w:asciiTheme="majorHAnsi" w:hAnsiTheme="majorHAnsi"/>
        </w:rPr>
        <w:t xml:space="preserve"> w </w:t>
      </w:r>
      <w:r w:rsidR="00C403D2" w:rsidRPr="006051E1">
        <w:rPr>
          <w:rFonts w:asciiTheme="majorHAnsi" w:hAnsiTheme="majorHAnsi"/>
        </w:rPr>
        <w:t>pkt VI;</w:t>
      </w:r>
    </w:p>
    <w:p w:rsidR="00CA6F24" w:rsidRPr="006051E1" w:rsidRDefault="00C403D2" w:rsidP="00706725">
      <w:pPr>
        <w:pStyle w:val="Nagwek2"/>
        <w:jc w:val="both"/>
        <w:rPr>
          <w:color w:val="auto"/>
        </w:rPr>
      </w:pPr>
      <w:r w:rsidRPr="006051E1">
        <w:rPr>
          <w:color w:val="auto"/>
        </w:rPr>
        <w:t>XII. KRYTERIA ZWROTU ZGŁOSZEŃ</w:t>
      </w:r>
    </w:p>
    <w:p w:rsidR="00CA6F24" w:rsidRPr="006051E1" w:rsidRDefault="00C403D2" w:rsidP="00706725">
      <w:pPr>
        <w:jc w:val="both"/>
        <w:rPr>
          <w:rFonts w:asciiTheme="majorHAnsi" w:hAnsiTheme="majorHAnsi"/>
        </w:rPr>
      </w:pPr>
      <w:r w:rsidRPr="006051E1">
        <w:rPr>
          <w:rFonts w:asciiTheme="majorHAnsi" w:hAnsiTheme="majorHAnsi"/>
        </w:rPr>
        <w:t>Koperty ze zgłoszeniami złożonymi po terminie składania podlegają</w:t>
      </w:r>
      <w:r w:rsidR="000C73E3" w:rsidRPr="006051E1">
        <w:rPr>
          <w:rFonts w:asciiTheme="majorHAnsi" w:hAnsiTheme="majorHAnsi"/>
        </w:rPr>
        <w:t xml:space="preserve"> </w:t>
      </w:r>
      <w:r w:rsidRPr="006051E1">
        <w:rPr>
          <w:rFonts w:asciiTheme="majorHAnsi" w:hAnsiTheme="majorHAnsi"/>
        </w:rPr>
        <w:t>zniszczeniu bez otwierania.</w:t>
      </w:r>
    </w:p>
    <w:p w:rsidR="00CA6F24" w:rsidRPr="006051E1" w:rsidRDefault="00C403D2" w:rsidP="00706725">
      <w:pPr>
        <w:pStyle w:val="Nagwek2"/>
        <w:jc w:val="both"/>
        <w:rPr>
          <w:color w:val="auto"/>
        </w:rPr>
      </w:pPr>
      <w:r w:rsidRPr="006051E1">
        <w:rPr>
          <w:color w:val="auto"/>
        </w:rPr>
        <w:t>XIII. DODATKOWE USTALENIA</w:t>
      </w:r>
    </w:p>
    <w:p w:rsidR="000C73E3" w:rsidRPr="006051E1" w:rsidRDefault="000C73E3" w:rsidP="00706725">
      <w:pPr>
        <w:ind w:left="284" w:hanging="284"/>
        <w:jc w:val="both"/>
        <w:rPr>
          <w:rFonts w:asciiTheme="majorHAnsi" w:hAnsiTheme="majorHAnsi"/>
        </w:rPr>
      </w:pPr>
      <w:r w:rsidRPr="006051E1">
        <w:rPr>
          <w:rFonts w:asciiTheme="majorHAnsi" w:hAnsiTheme="majorHAnsi"/>
        </w:rPr>
        <w:t>1.</w:t>
      </w:r>
      <w:r w:rsidRPr="006051E1">
        <w:rPr>
          <w:rFonts w:asciiTheme="majorHAnsi" w:hAnsiTheme="majorHAnsi"/>
        </w:rPr>
        <w:tab/>
        <w:t>Zgłaszający zobowiązuje się do zachowania</w:t>
      </w:r>
      <w:r w:rsidR="00762921" w:rsidRPr="006051E1">
        <w:rPr>
          <w:rFonts w:asciiTheme="majorHAnsi" w:hAnsiTheme="majorHAnsi"/>
        </w:rPr>
        <w:t xml:space="preserve"> w </w:t>
      </w:r>
      <w:r w:rsidRPr="006051E1">
        <w:rPr>
          <w:rFonts w:asciiTheme="majorHAnsi" w:hAnsiTheme="majorHAnsi"/>
        </w:rPr>
        <w:t>tajemnicy wobec osób trzecich, niebędących członkami władz, pełnomocnikami lub pracownikami Stron, wszelkich informacji powziętych</w:t>
      </w:r>
      <w:r w:rsidR="00762921" w:rsidRPr="006051E1">
        <w:rPr>
          <w:rFonts w:asciiTheme="majorHAnsi" w:hAnsiTheme="majorHAnsi"/>
        </w:rPr>
        <w:t xml:space="preserve"> w </w:t>
      </w:r>
      <w:r w:rsidRPr="006051E1">
        <w:rPr>
          <w:rFonts w:asciiTheme="majorHAnsi" w:hAnsiTheme="majorHAnsi"/>
        </w:rPr>
        <w:t>trakcie przedmiotowego postępowania,</w:t>
      </w:r>
      <w:r w:rsidR="00762921" w:rsidRPr="006051E1">
        <w:rPr>
          <w:rFonts w:asciiTheme="majorHAnsi" w:hAnsiTheme="majorHAnsi"/>
        </w:rPr>
        <w:t xml:space="preserve"> w </w:t>
      </w:r>
      <w:r w:rsidRPr="006051E1">
        <w:rPr>
          <w:rFonts w:asciiTheme="majorHAnsi" w:hAnsiTheme="majorHAnsi"/>
        </w:rPr>
        <w:t>tym również związanych</w:t>
      </w:r>
      <w:r w:rsidR="00762921" w:rsidRPr="006051E1">
        <w:rPr>
          <w:rFonts w:asciiTheme="majorHAnsi" w:hAnsiTheme="majorHAnsi"/>
        </w:rPr>
        <w:t xml:space="preserve"> z </w:t>
      </w:r>
      <w:r w:rsidRPr="006051E1">
        <w:rPr>
          <w:rFonts w:asciiTheme="majorHAnsi" w:hAnsiTheme="majorHAnsi"/>
        </w:rPr>
        <w:t>organizowaniem transakcji sprzedaży, jak również informacji, które pozyska podczas zawierania</w:t>
      </w:r>
      <w:r w:rsidR="00762921" w:rsidRPr="006051E1">
        <w:rPr>
          <w:rFonts w:asciiTheme="majorHAnsi" w:hAnsiTheme="majorHAnsi"/>
        </w:rPr>
        <w:t xml:space="preserve"> i </w:t>
      </w:r>
      <w:r w:rsidRPr="006051E1">
        <w:rPr>
          <w:rFonts w:asciiTheme="majorHAnsi" w:hAnsiTheme="majorHAnsi"/>
        </w:rPr>
        <w:t>wykonywania umowy sprzedaży wierzytelności. Obowiązek ten jest nieograniczony czasowo.</w:t>
      </w:r>
    </w:p>
    <w:p w:rsidR="000C73E3" w:rsidRPr="006051E1" w:rsidRDefault="000C73E3" w:rsidP="00706725">
      <w:pPr>
        <w:ind w:left="284" w:hanging="284"/>
        <w:jc w:val="both"/>
        <w:rPr>
          <w:rFonts w:asciiTheme="majorHAnsi" w:hAnsiTheme="majorHAnsi"/>
        </w:rPr>
      </w:pPr>
      <w:r w:rsidRPr="006051E1">
        <w:rPr>
          <w:rFonts w:asciiTheme="majorHAnsi" w:hAnsiTheme="majorHAnsi"/>
        </w:rPr>
        <w:t>2.</w:t>
      </w:r>
      <w:r w:rsidRPr="006051E1">
        <w:rPr>
          <w:rFonts w:asciiTheme="majorHAnsi" w:hAnsiTheme="majorHAnsi"/>
        </w:rPr>
        <w:tab/>
        <w:t>SKOK zastrzega sobie prawo do: a) swobodnego wyboru oferty, b) swobodnego wyboru podmiotów, które zaprosi do udziału</w:t>
      </w:r>
      <w:r w:rsidR="00762921" w:rsidRPr="006051E1">
        <w:rPr>
          <w:rFonts w:asciiTheme="majorHAnsi" w:hAnsiTheme="majorHAnsi"/>
        </w:rPr>
        <w:t xml:space="preserve"> w </w:t>
      </w:r>
      <w:r w:rsidRPr="006051E1">
        <w:rPr>
          <w:rFonts w:asciiTheme="majorHAnsi" w:hAnsiTheme="majorHAnsi"/>
        </w:rPr>
        <w:t xml:space="preserve">postępowaniu, c) odstąpienia od przeprowadzenia sprzedaży </w:t>
      </w:r>
      <w:r w:rsidRPr="006051E1">
        <w:rPr>
          <w:rFonts w:asciiTheme="majorHAnsi" w:hAnsiTheme="majorHAnsi"/>
        </w:rPr>
        <w:lastRenderedPageBreak/>
        <w:t>wierzytelności, d) zamknięcia postępowania bez dokonania wyboru oferty na każdym jego etapie, e) unieważnienia postępowania na każdym jego etapie bez podawania przyczyn, f) odstąpienia od zawarcia umowy sprzedaży wierzytelności bez podawania przyczyn, nawet po dokonaniu wyboru oferty.</w:t>
      </w:r>
    </w:p>
    <w:p w:rsidR="000C73E3" w:rsidRPr="006051E1" w:rsidRDefault="000C73E3" w:rsidP="00706725">
      <w:pPr>
        <w:ind w:left="284" w:hanging="284"/>
        <w:jc w:val="both"/>
        <w:rPr>
          <w:rFonts w:asciiTheme="majorHAnsi" w:hAnsiTheme="majorHAnsi"/>
        </w:rPr>
      </w:pPr>
      <w:r w:rsidRPr="006051E1">
        <w:rPr>
          <w:rFonts w:asciiTheme="majorHAnsi" w:hAnsiTheme="majorHAnsi"/>
        </w:rPr>
        <w:t>3.</w:t>
      </w:r>
      <w:r w:rsidRPr="006051E1">
        <w:rPr>
          <w:rFonts w:asciiTheme="majorHAnsi" w:hAnsiTheme="majorHAnsi"/>
        </w:rPr>
        <w:tab/>
        <w:t>W przypadkach,</w:t>
      </w:r>
      <w:r w:rsidR="00762921" w:rsidRPr="006051E1">
        <w:rPr>
          <w:rFonts w:asciiTheme="majorHAnsi" w:hAnsiTheme="majorHAnsi"/>
        </w:rPr>
        <w:t xml:space="preserve"> o </w:t>
      </w:r>
      <w:r w:rsidRPr="006051E1">
        <w:rPr>
          <w:rFonts w:asciiTheme="majorHAnsi" w:hAnsiTheme="majorHAnsi"/>
        </w:rPr>
        <w:t>których mowa</w:t>
      </w:r>
      <w:r w:rsidR="00762921" w:rsidRPr="006051E1">
        <w:rPr>
          <w:rFonts w:asciiTheme="majorHAnsi" w:hAnsiTheme="majorHAnsi"/>
        </w:rPr>
        <w:t xml:space="preserve"> w </w:t>
      </w:r>
      <w:r w:rsidRPr="006051E1">
        <w:rPr>
          <w:rFonts w:asciiTheme="majorHAnsi" w:hAnsiTheme="majorHAnsi"/>
        </w:rPr>
        <w:t>ust. 2 powyżej, oferentowi nie będzie przysługiwało prawo występowania</w:t>
      </w:r>
      <w:r w:rsidR="00762921" w:rsidRPr="006051E1">
        <w:rPr>
          <w:rFonts w:asciiTheme="majorHAnsi" w:hAnsiTheme="majorHAnsi"/>
        </w:rPr>
        <w:t xml:space="preserve"> z </w:t>
      </w:r>
      <w:r w:rsidRPr="006051E1">
        <w:rPr>
          <w:rFonts w:asciiTheme="majorHAnsi" w:hAnsiTheme="majorHAnsi"/>
        </w:rPr>
        <w:t>jakimkolwiek roszczeniem wobec SKOK.</w:t>
      </w:r>
    </w:p>
    <w:p w:rsidR="000C73E3" w:rsidRPr="006051E1" w:rsidRDefault="000C73E3" w:rsidP="00706725">
      <w:pPr>
        <w:ind w:left="284" w:hanging="284"/>
        <w:jc w:val="both"/>
        <w:rPr>
          <w:rFonts w:asciiTheme="majorHAnsi" w:hAnsiTheme="majorHAnsi"/>
        </w:rPr>
      </w:pPr>
      <w:r w:rsidRPr="006051E1">
        <w:rPr>
          <w:rFonts w:asciiTheme="majorHAnsi" w:hAnsiTheme="majorHAnsi"/>
        </w:rPr>
        <w:t>4.</w:t>
      </w:r>
      <w:r w:rsidRPr="006051E1">
        <w:rPr>
          <w:rFonts w:asciiTheme="majorHAnsi" w:hAnsiTheme="majorHAnsi"/>
        </w:rPr>
        <w:tab/>
        <w:t>W przedmiotowym postępowaniu nie przewiduje się trybu odwoławczego.</w:t>
      </w:r>
    </w:p>
    <w:p w:rsidR="000C73E3" w:rsidRPr="006051E1" w:rsidRDefault="000C73E3" w:rsidP="00706725">
      <w:pPr>
        <w:ind w:left="284" w:hanging="284"/>
        <w:jc w:val="both"/>
        <w:rPr>
          <w:rFonts w:asciiTheme="majorHAnsi" w:hAnsiTheme="majorHAnsi"/>
        </w:rPr>
      </w:pPr>
      <w:r w:rsidRPr="006051E1">
        <w:rPr>
          <w:rFonts w:asciiTheme="majorHAnsi" w:hAnsiTheme="majorHAnsi"/>
        </w:rPr>
        <w:t>5.</w:t>
      </w:r>
      <w:r w:rsidRPr="006051E1">
        <w:rPr>
          <w:rFonts w:asciiTheme="majorHAnsi" w:hAnsiTheme="majorHAnsi"/>
        </w:rPr>
        <w:tab/>
        <w:t xml:space="preserve">Po sprzedaży wierzytelności </w:t>
      </w:r>
      <w:r w:rsidR="006E3B02" w:rsidRPr="006051E1">
        <w:rPr>
          <w:rFonts w:asciiTheme="majorHAnsi" w:hAnsiTheme="majorHAnsi"/>
        </w:rPr>
        <w:t>Z</w:t>
      </w:r>
      <w:r w:rsidRPr="006051E1">
        <w:rPr>
          <w:rFonts w:asciiTheme="majorHAnsi" w:hAnsiTheme="majorHAnsi"/>
        </w:rPr>
        <w:t>SKOK poinformuje dłużników</w:t>
      </w:r>
      <w:r w:rsidR="00762921" w:rsidRPr="006051E1">
        <w:rPr>
          <w:rFonts w:asciiTheme="majorHAnsi" w:hAnsiTheme="majorHAnsi"/>
        </w:rPr>
        <w:t xml:space="preserve"> o </w:t>
      </w:r>
      <w:r w:rsidRPr="006051E1">
        <w:rPr>
          <w:rFonts w:asciiTheme="majorHAnsi" w:hAnsiTheme="majorHAnsi"/>
        </w:rPr>
        <w:t>dokonanej cesji (zbyciu).</w:t>
      </w:r>
    </w:p>
    <w:p w:rsidR="006F2B90" w:rsidRPr="006051E1" w:rsidRDefault="000C73E3" w:rsidP="00706725">
      <w:pPr>
        <w:ind w:left="284" w:hanging="284"/>
        <w:jc w:val="both"/>
        <w:rPr>
          <w:rFonts w:asciiTheme="majorHAnsi" w:hAnsiTheme="majorHAnsi"/>
        </w:rPr>
      </w:pPr>
      <w:r w:rsidRPr="006051E1">
        <w:rPr>
          <w:rFonts w:asciiTheme="majorHAnsi" w:hAnsiTheme="majorHAnsi"/>
        </w:rPr>
        <w:t>6.</w:t>
      </w:r>
      <w:r w:rsidRPr="006051E1">
        <w:rPr>
          <w:rFonts w:asciiTheme="majorHAnsi" w:hAnsiTheme="majorHAnsi"/>
        </w:rPr>
        <w:tab/>
        <w:t>Wszelkie pytania oraz dodatkowe informacje wymagane</w:t>
      </w:r>
      <w:r w:rsidR="00762921" w:rsidRPr="006051E1">
        <w:rPr>
          <w:rFonts w:asciiTheme="majorHAnsi" w:hAnsiTheme="majorHAnsi"/>
        </w:rPr>
        <w:t xml:space="preserve"> w </w:t>
      </w:r>
      <w:r w:rsidRPr="006051E1">
        <w:rPr>
          <w:rFonts w:asciiTheme="majorHAnsi" w:hAnsiTheme="majorHAnsi"/>
        </w:rPr>
        <w:t>niniejszym postępowaniu udzielane SKOK powinny być kierowane zgodnie</w:t>
      </w:r>
      <w:r w:rsidR="00762921" w:rsidRPr="006051E1">
        <w:rPr>
          <w:rFonts w:asciiTheme="majorHAnsi" w:hAnsiTheme="majorHAnsi"/>
        </w:rPr>
        <w:t xml:space="preserve"> z </w:t>
      </w:r>
      <w:r w:rsidRPr="006051E1">
        <w:rPr>
          <w:rFonts w:asciiTheme="majorHAnsi" w:hAnsiTheme="majorHAnsi"/>
        </w:rPr>
        <w:t>danymi,</w:t>
      </w:r>
      <w:r w:rsidR="00762921" w:rsidRPr="006051E1">
        <w:rPr>
          <w:rFonts w:asciiTheme="majorHAnsi" w:hAnsiTheme="majorHAnsi"/>
        </w:rPr>
        <w:t xml:space="preserve"> o </w:t>
      </w:r>
      <w:r w:rsidRPr="006051E1">
        <w:rPr>
          <w:rFonts w:asciiTheme="majorHAnsi" w:hAnsiTheme="majorHAnsi"/>
        </w:rPr>
        <w:t>których mowa</w:t>
      </w:r>
      <w:r w:rsidR="00762921" w:rsidRPr="006051E1">
        <w:rPr>
          <w:rFonts w:asciiTheme="majorHAnsi" w:hAnsiTheme="majorHAnsi"/>
        </w:rPr>
        <w:t xml:space="preserve"> w </w:t>
      </w:r>
      <w:r w:rsidRPr="006051E1">
        <w:rPr>
          <w:rFonts w:asciiTheme="majorHAnsi" w:hAnsiTheme="majorHAnsi"/>
        </w:rPr>
        <w:t>pkt IX,</w:t>
      </w:r>
      <w:r w:rsidR="00762921" w:rsidRPr="006051E1">
        <w:rPr>
          <w:rFonts w:asciiTheme="majorHAnsi" w:hAnsiTheme="majorHAnsi"/>
        </w:rPr>
        <w:t xml:space="preserve"> a </w:t>
      </w:r>
      <w:r w:rsidRPr="006051E1">
        <w:rPr>
          <w:rFonts w:asciiTheme="majorHAnsi" w:hAnsiTheme="majorHAnsi"/>
        </w:rPr>
        <w:t>ponadto SKOK wskazuje adres e-mail:</w:t>
      </w:r>
      <w:r w:rsidR="00E73783" w:rsidRPr="006051E1">
        <w:rPr>
          <w:rFonts w:asciiTheme="majorHAnsi" w:hAnsiTheme="majorHAnsi"/>
        </w:rPr>
        <w:t xml:space="preserve"> </w:t>
      </w:r>
      <w:hyperlink r:id="rId9" w:history="1">
        <w:r w:rsidR="00E73783" w:rsidRPr="006051E1">
          <w:rPr>
            <w:rStyle w:val="Hipercze"/>
            <w:rFonts w:asciiTheme="majorHAnsi" w:hAnsiTheme="majorHAnsi"/>
          </w:rPr>
          <w:t>cesjawierzytelnosci@zskok.pl</w:t>
        </w:r>
      </w:hyperlink>
      <w:r w:rsidR="00E73783" w:rsidRPr="006051E1">
        <w:rPr>
          <w:rFonts w:asciiTheme="majorHAnsi" w:hAnsiTheme="majorHAnsi"/>
        </w:rPr>
        <w:t>, pod</w:t>
      </w:r>
      <w:r w:rsidRPr="006051E1">
        <w:rPr>
          <w:rFonts w:asciiTheme="majorHAnsi" w:hAnsiTheme="majorHAnsi"/>
        </w:rPr>
        <w:t xml:space="preserve"> który ma być kierowana korespondencja do SKOK.</w:t>
      </w:r>
    </w:p>
    <w:p w:rsidR="00873798" w:rsidRPr="006051E1" w:rsidRDefault="00873798" w:rsidP="00706725">
      <w:pPr>
        <w:ind w:left="284" w:hanging="284"/>
        <w:jc w:val="both"/>
        <w:rPr>
          <w:rFonts w:asciiTheme="majorHAnsi" w:hAnsiTheme="majorHAnsi"/>
        </w:rPr>
      </w:pPr>
    </w:p>
    <w:p w:rsidR="00873798" w:rsidRPr="006051E1" w:rsidRDefault="00873798" w:rsidP="00706725">
      <w:pPr>
        <w:ind w:left="284" w:hanging="284"/>
        <w:jc w:val="both"/>
        <w:rPr>
          <w:rFonts w:asciiTheme="majorHAnsi" w:hAnsiTheme="majorHAnsi"/>
        </w:rPr>
      </w:pPr>
    </w:p>
    <w:p w:rsidR="00873798" w:rsidRPr="00706725" w:rsidRDefault="00873798" w:rsidP="00873798">
      <w:pPr>
        <w:ind w:left="284" w:hanging="284"/>
        <w:jc w:val="right"/>
        <w:rPr>
          <w:rFonts w:asciiTheme="majorHAnsi" w:hAnsiTheme="majorHAnsi"/>
        </w:rPr>
      </w:pPr>
    </w:p>
    <w:sectPr w:rsidR="00873798" w:rsidRPr="00706725" w:rsidSect="00F75228">
      <w:footerReference w:type="default" r:id="rId10"/>
      <w:type w:val="continuous"/>
      <w:pgSz w:w="11900" w:h="16840"/>
      <w:pgMar w:top="851" w:right="1134" w:bottom="851"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D22" w:rsidRDefault="004B0D22" w:rsidP="009724B5">
      <w:r>
        <w:separator/>
      </w:r>
    </w:p>
  </w:endnote>
  <w:endnote w:type="continuationSeparator" w:id="0">
    <w:p w:rsidR="004B0D22" w:rsidRDefault="004B0D22" w:rsidP="0097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imes">
    <w:altName w:val="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76535"/>
      <w:docPartObj>
        <w:docPartGallery w:val="Page Numbers (Bottom of Page)"/>
        <w:docPartUnique/>
      </w:docPartObj>
    </w:sdtPr>
    <w:sdtEndPr/>
    <w:sdtContent>
      <w:p w:rsidR="002B0AF4" w:rsidRDefault="002B0AF4">
        <w:pPr>
          <w:pStyle w:val="Stopka"/>
          <w:jc w:val="center"/>
        </w:pPr>
        <w:r>
          <w:fldChar w:fldCharType="begin"/>
        </w:r>
        <w:r>
          <w:instrText>PAGE   \* MERGEFORMAT</w:instrText>
        </w:r>
        <w:r>
          <w:fldChar w:fldCharType="separate"/>
        </w:r>
        <w:r w:rsidR="00C362C0">
          <w:rPr>
            <w:noProof/>
          </w:rPr>
          <w:t>4</w:t>
        </w:r>
        <w:r>
          <w:fldChar w:fldCharType="end"/>
        </w:r>
      </w:p>
    </w:sdtContent>
  </w:sdt>
  <w:p w:rsidR="002B0AF4" w:rsidRDefault="002B0A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D22" w:rsidRDefault="004B0D22" w:rsidP="009724B5">
      <w:r>
        <w:separator/>
      </w:r>
    </w:p>
  </w:footnote>
  <w:footnote w:type="continuationSeparator" w:id="0">
    <w:p w:rsidR="004B0D22" w:rsidRDefault="004B0D22" w:rsidP="00972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FB53"/>
    <w:multiLevelType w:val="hybridMultilevel"/>
    <w:tmpl w:val="723A83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D2A76"/>
    <w:multiLevelType w:val="hybridMultilevel"/>
    <w:tmpl w:val="673E33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39E00"/>
    <w:multiLevelType w:val="hybridMultilevel"/>
    <w:tmpl w:val="53A16D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7D15BC"/>
    <w:multiLevelType w:val="hybridMultilevel"/>
    <w:tmpl w:val="2899F7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AE6003"/>
    <w:multiLevelType w:val="hybridMultilevel"/>
    <w:tmpl w:val="BD5332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4F5936"/>
    <w:multiLevelType w:val="hybridMultilevel"/>
    <w:tmpl w:val="65678A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52A125"/>
    <w:multiLevelType w:val="hybridMultilevel"/>
    <w:tmpl w:val="F083BF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709A598"/>
    <w:multiLevelType w:val="hybridMultilevel"/>
    <w:tmpl w:val="FB2D71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A5FF2A"/>
    <w:multiLevelType w:val="hybridMultilevel"/>
    <w:tmpl w:val="F67D7D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4D0753C"/>
    <w:multiLevelType w:val="hybridMultilevel"/>
    <w:tmpl w:val="C0E00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D2341A"/>
    <w:multiLevelType w:val="hybridMultilevel"/>
    <w:tmpl w:val="06FE9F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81A96F"/>
    <w:multiLevelType w:val="hybridMultilevel"/>
    <w:tmpl w:val="00EABF7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3E38E6"/>
    <w:multiLevelType w:val="hybridMultilevel"/>
    <w:tmpl w:val="419EAF93"/>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7"/>
  </w:num>
  <w:num w:numId="4">
    <w:abstractNumId w:val="2"/>
  </w:num>
  <w:num w:numId="5">
    <w:abstractNumId w:val="5"/>
  </w:num>
  <w:num w:numId="6">
    <w:abstractNumId w:val="8"/>
  </w:num>
  <w:num w:numId="7">
    <w:abstractNumId w:val="4"/>
  </w:num>
  <w:num w:numId="8">
    <w:abstractNumId w:val="10"/>
  </w:num>
  <w:num w:numId="9">
    <w:abstractNumId w:val="0"/>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82"/>
    <w:rsid w:val="00061840"/>
    <w:rsid w:val="000C4A7B"/>
    <w:rsid w:val="000C73E3"/>
    <w:rsid w:val="00100F0D"/>
    <w:rsid w:val="00125043"/>
    <w:rsid w:val="001739DF"/>
    <w:rsid w:val="0023554B"/>
    <w:rsid w:val="00242431"/>
    <w:rsid w:val="00273A0D"/>
    <w:rsid w:val="00293D72"/>
    <w:rsid w:val="002B0AF4"/>
    <w:rsid w:val="002E5E82"/>
    <w:rsid w:val="004032EC"/>
    <w:rsid w:val="0040347C"/>
    <w:rsid w:val="0040538B"/>
    <w:rsid w:val="0046197D"/>
    <w:rsid w:val="00475D9F"/>
    <w:rsid w:val="0049160C"/>
    <w:rsid w:val="004B0D22"/>
    <w:rsid w:val="005753E3"/>
    <w:rsid w:val="005924DE"/>
    <w:rsid w:val="005B19AB"/>
    <w:rsid w:val="006051E1"/>
    <w:rsid w:val="00690760"/>
    <w:rsid w:val="006D0876"/>
    <w:rsid w:val="006D6574"/>
    <w:rsid w:val="006E3B02"/>
    <w:rsid w:val="006F2B90"/>
    <w:rsid w:val="00706725"/>
    <w:rsid w:val="00762921"/>
    <w:rsid w:val="00873798"/>
    <w:rsid w:val="00961C76"/>
    <w:rsid w:val="009724B5"/>
    <w:rsid w:val="00AB18C7"/>
    <w:rsid w:val="00AF2571"/>
    <w:rsid w:val="00B525C7"/>
    <w:rsid w:val="00B57276"/>
    <w:rsid w:val="00BA6A06"/>
    <w:rsid w:val="00C362C0"/>
    <w:rsid w:val="00C403D2"/>
    <w:rsid w:val="00CA6F24"/>
    <w:rsid w:val="00CB287D"/>
    <w:rsid w:val="00CD4704"/>
    <w:rsid w:val="00D22B4A"/>
    <w:rsid w:val="00D32C84"/>
    <w:rsid w:val="00D35FC6"/>
    <w:rsid w:val="00D63A90"/>
    <w:rsid w:val="00DF7E3F"/>
    <w:rsid w:val="00E22183"/>
    <w:rsid w:val="00E51979"/>
    <w:rsid w:val="00E73783"/>
    <w:rsid w:val="00EB7AE6"/>
    <w:rsid w:val="00F248BD"/>
    <w:rsid w:val="00F713A5"/>
    <w:rsid w:val="00F75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540EB4-68C3-4F8D-A7AB-0CD7E3A0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F24"/>
    <w:pPr>
      <w:spacing w:after="0" w:line="240" w:lineRule="auto"/>
    </w:pPr>
    <w:rPr>
      <w:rFonts w:ascii="Times New Roman" w:hAnsi="Times New Roman"/>
    </w:rPr>
  </w:style>
  <w:style w:type="paragraph" w:styleId="Nagwek1">
    <w:name w:val="heading 1"/>
    <w:basedOn w:val="Normalny"/>
    <w:next w:val="Normalny"/>
    <w:link w:val="Nagwek1Znak"/>
    <w:uiPriority w:val="9"/>
    <w:qFormat/>
    <w:rsid w:val="00CA6F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A6F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F2B90"/>
    <w:pPr>
      <w:widowControl w:val="0"/>
      <w:autoSpaceDE w:val="0"/>
      <w:autoSpaceDN w:val="0"/>
      <w:adjustRightInd w:val="0"/>
      <w:spacing w:after="0" w:line="240" w:lineRule="auto"/>
    </w:pPr>
    <w:rPr>
      <w:rFonts w:ascii="Times" w:hAnsi="Times" w:cs="Times"/>
      <w:color w:val="000000"/>
      <w:sz w:val="24"/>
      <w:szCs w:val="24"/>
    </w:rPr>
  </w:style>
  <w:style w:type="paragraph" w:customStyle="1" w:styleId="CM1">
    <w:name w:val="CM1"/>
    <w:basedOn w:val="Default"/>
    <w:next w:val="Default"/>
    <w:uiPriority w:val="99"/>
    <w:rsid w:val="006F2B90"/>
    <w:pPr>
      <w:spacing w:line="266" w:lineRule="atLeast"/>
    </w:pPr>
    <w:rPr>
      <w:color w:val="auto"/>
    </w:rPr>
  </w:style>
  <w:style w:type="paragraph" w:customStyle="1" w:styleId="CM2">
    <w:name w:val="CM2"/>
    <w:basedOn w:val="Default"/>
    <w:next w:val="Default"/>
    <w:uiPriority w:val="99"/>
    <w:rsid w:val="006F2B90"/>
    <w:pPr>
      <w:spacing w:line="266" w:lineRule="atLeast"/>
    </w:pPr>
    <w:rPr>
      <w:color w:val="auto"/>
    </w:rPr>
  </w:style>
  <w:style w:type="paragraph" w:customStyle="1" w:styleId="CM3">
    <w:name w:val="CM3"/>
    <w:basedOn w:val="Default"/>
    <w:next w:val="Default"/>
    <w:uiPriority w:val="99"/>
    <w:rsid w:val="006F2B90"/>
    <w:pPr>
      <w:spacing w:line="266" w:lineRule="atLeast"/>
    </w:pPr>
    <w:rPr>
      <w:color w:val="auto"/>
    </w:rPr>
  </w:style>
  <w:style w:type="character" w:customStyle="1" w:styleId="Nagwek2Znak">
    <w:name w:val="Nagłówek 2 Znak"/>
    <w:basedOn w:val="Domylnaczcionkaakapitu"/>
    <w:link w:val="Nagwek2"/>
    <w:uiPriority w:val="9"/>
    <w:rsid w:val="00CA6F24"/>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CA6F24"/>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0C4A7B"/>
    <w:pPr>
      <w:ind w:left="720"/>
      <w:contextualSpacing/>
    </w:pPr>
  </w:style>
  <w:style w:type="paragraph" w:styleId="Tekstdymka">
    <w:name w:val="Balloon Text"/>
    <w:basedOn w:val="Normalny"/>
    <w:link w:val="TekstdymkaZnak"/>
    <w:uiPriority w:val="99"/>
    <w:semiHidden/>
    <w:unhideWhenUsed/>
    <w:rsid w:val="009724B5"/>
    <w:rPr>
      <w:rFonts w:ascii="Tahoma" w:hAnsi="Tahoma" w:cs="Tahoma"/>
      <w:sz w:val="16"/>
      <w:szCs w:val="16"/>
    </w:rPr>
  </w:style>
  <w:style w:type="character" w:customStyle="1" w:styleId="TekstdymkaZnak">
    <w:name w:val="Tekst dymka Znak"/>
    <w:basedOn w:val="Domylnaczcionkaakapitu"/>
    <w:link w:val="Tekstdymka"/>
    <w:uiPriority w:val="99"/>
    <w:semiHidden/>
    <w:rsid w:val="009724B5"/>
    <w:rPr>
      <w:rFonts w:ascii="Tahoma" w:hAnsi="Tahoma" w:cs="Tahoma"/>
      <w:sz w:val="16"/>
      <w:szCs w:val="16"/>
    </w:rPr>
  </w:style>
  <w:style w:type="paragraph" w:styleId="Nagwek">
    <w:name w:val="header"/>
    <w:basedOn w:val="Normalny"/>
    <w:link w:val="NagwekZnak"/>
    <w:uiPriority w:val="99"/>
    <w:unhideWhenUsed/>
    <w:rsid w:val="009724B5"/>
    <w:pPr>
      <w:tabs>
        <w:tab w:val="center" w:pos="4536"/>
        <w:tab w:val="right" w:pos="9072"/>
      </w:tabs>
    </w:pPr>
  </w:style>
  <w:style w:type="character" w:customStyle="1" w:styleId="NagwekZnak">
    <w:name w:val="Nagłówek Znak"/>
    <w:basedOn w:val="Domylnaczcionkaakapitu"/>
    <w:link w:val="Nagwek"/>
    <w:uiPriority w:val="99"/>
    <w:rsid w:val="009724B5"/>
    <w:rPr>
      <w:rFonts w:ascii="Times New Roman" w:hAnsi="Times New Roman"/>
    </w:rPr>
  </w:style>
  <w:style w:type="paragraph" w:styleId="Stopka">
    <w:name w:val="footer"/>
    <w:basedOn w:val="Normalny"/>
    <w:link w:val="StopkaZnak"/>
    <w:uiPriority w:val="99"/>
    <w:unhideWhenUsed/>
    <w:rsid w:val="009724B5"/>
    <w:pPr>
      <w:tabs>
        <w:tab w:val="center" w:pos="4536"/>
        <w:tab w:val="right" w:pos="9072"/>
      </w:tabs>
    </w:pPr>
  </w:style>
  <w:style w:type="character" w:customStyle="1" w:styleId="StopkaZnak">
    <w:name w:val="Stopka Znak"/>
    <w:basedOn w:val="Domylnaczcionkaakapitu"/>
    <w:link w:val="Stopka"/>
    <w:uiPriority w:val="99"/>
    <w:rsid w:val="009724B5"/>
    <w:rPr>
      <w:rFonts w:ascii="Times New Roman" w:hAnsi="Times New Roman"/>
    </w:rPr>
  </w:style>
  <w:style w:type="character" w:styleId="Hipercze">
    <w:name w:val="Hyperlink"/>
    <w:basedOn w:val="Domylnaczcionkaakapitu"/>
    <w:uiPriority w:val="99"/>
    <w:unhideWhenUsed/>
    <w:rsid w:val="00273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jawierzytelnosci@zskok.p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sjawierzytelnosci@zsk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1558</Words>
  <Characters>9348</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Katarzyna Koniewicz</cp:lastModifiedBy>
  <cp:revision>4</cp:revision>
  <cp:lastPrinted>2017-08-17T08:32:00Z</cp:lastPrinted>
  <dcterms:created xsi:type="dcterms:W3CDTF">2023-01-12T12:42:00Z</dcterms:created>
  <dcterms:modified xsi:type="dcterms:W3CDTF">2023-03-13T11:40:00Z</dcterms:modified>
</cp:coreProperties>
</file>